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8A926">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bookmarkStart w:id="0" w:name="_GoBack"/>
      <w:bookmarkEnd w:id="0"/>
      <w:r>
        <w:rPr>
          <w:rFonts w:hint="eastAsia" w:ascii="方正黑体_GBK" w:hAnsi="方正黑体_GBK" w:eastAsia="方正黑体_GBK" w:cs="方正黑体_GBK"/>
          <w:sz w:val="32"/>
          <w:szCs w:val="32"/>
        </w:rPr>
        <w:t xml:space="preserve"> </w:t>
      </w:r>
    </w:p>
    <w:p w14:paraId="30666020">
      <w:pPr>
        <w:spacing w:line="600" w:lineRule="exact"/>
        <w:rPr>
          <w:rFonts w:ascii="方正黑体_GBK" w:hAnsi="方正黑体_GBK" w:eastAsia="方正黑体_GBK" w:cs="方正黑体_GBK"/>
          <w:sz w:val="32"/>
          <w:szCs w:val="32"/>
        </w:rPr>
      </w:pPr>
    </w:p>
    <w:p w14:paraId="1F18E44F">
      <w:pPr>
        <w:spacing w:line="5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云南省中等职业学校专业课、实习指导教师</w:t>
      </w:r>
    </w:p>
    <w:p w14:paraId="716040C6">
      <w:pPr>
        <w:spacing w:line="5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资格考试（面试）大纲</w:t>
      </w:r>
    </w:p>
    <w:p w14:paraId="62EDC760">
      <w:pPr>
        <w:adjustRightInd w:val="0"/>
        <w:snapToGrid w:val="0"/>
        <w:spacing w:line="600" w:lineRule="exact"/>
        <w:rPr>
          <w:rFonts w:ascii="仿宋_GB2312" w:hAnsi="仿宋" w:eastAsia="仿宋_GB2312"/>
          <w:sz w:val="32"/>
          <w:szCs w:val="32"/>
        </w:rPr>
      </w:pPr>
    </w:p>
    <w:p w14:paraId="1DFB749E">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一、测试性质</w:t>
      </w:r>
    </w:p>
    <w:p w14:paraId="6B0D58FC">
      <w:pPr>
        <w:adjustRightInd w:val="0"/>
        <w:snapToGrid w:val="0"/>
        <w:spacing w:line="600" w:lineRule="exact"/>
        <w:ind w:firstLine="640" w:firstLineChars="200"/>
        <w:rPr>
          <w:rFonts w:hint="default"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面试是中等职业学校专业课教师和实习指导教师资格考试的组成部分，属于标准参照性考试。笔试科目《专业知识与教学能力》的考察结合面试环节进行。 </w:t>
      </w:r>
    </w:p>
    <w:p w14:paraId="1E88BC7F">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二、测试目标 </w:t>
      </w:r>
    </w:p>
    <w:p w14:paraId="2D31F03A">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面试主要考察申请中等职业学校专业课教师和实习指导教师资格人员应具备的教师基本素养、职业发展潜质、教育教学能力、专业基础知识和基本技能，主要包括：</w:t>
      </w:r>
    </w:p>
    <w:p w14:paraId="4AA07472">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1.良好的职业认知、心理素质和思维品质。</w:t>
      </w:r>
    </w:p>
    <w:p w14:paraId="1ADDA9B9">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2.较好的专业基础知识，必需的基本技能。</w:t>
      </w:r>
    </w:p>
    <w:p w14:paraId="5A07CF69">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3.仪表仪态得体，有一定的表达、交流、沟通能力。</w:t>
      </w:r>
    </w:p>
    <w:p w14:paraId="2D5ECC1C">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4.能够恰当地运用教学方法、手段，教学环节规范，较好地达成教学目标。</w:t>
      </w:r>
    </w:p>
    <w:p w14:paraId="62C80ECC">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三、测试内容与要求 </w:t>
      </w:r>
    </w:p>
    <w:p w14:paraId="57922B24">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方正楷体_GBK" w:hAnsi="方正楷体_GBK" w:eastAsia="方正楷体_GBK" w:cs="方正楷体_GBK"/>
          <w:bCs w:val="0"/>
          <w:color w:val="auto"/>
          <w:kern w:val="0"/>
          <w:sz w:val="32"/>
          <w:szCs w:val="32"/>
          <w:lang w:val="en-US" w:eastAsia="zh-CN" w:bidi="ar-SA"/>
        </w:rPr>
        <w:t>（一）职业认知</w:t>
      </w:r>
      <w:r>
        <w:rPr>
          <w:rFonts w:hint="eastAsia" w:ascii="Times New Roman" w:hAnsi="Times New Roman" w:eastAsia="方正仿宋_GBK" w:cs="Times New Roman"/>
          <w:bCs w:val="0"/>
          <w:color w:val="auto"/>
          <w:kern w:val="0"/>
          <w:sz w:val="32"/>
          <w:szCs w:val="32"/>
          <w:lang w:val="en-US" w:eastAsia="zh-CN" w:bidi="ar-SA"/>
        </w:rPr>
        <w:t xml:space="preserve"> </w:t>
      </w:r>
    </w:p>
    <w:p w14:paraId="24A5FD59">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1.热爱教育事业，能正确认识、理解中等职业教育专业课教师和实习指导教师的职业特征，遵守教师职业道德规范，能够正确认识、分析和评价教育教学实践中的师德问题。 </w:t>
      </w:r>
    </w:p>
    <w:p w14:paraId="4D338B0D">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2.关爱学生、尊重学生，公正平等地对待每一位学生，关注每一位学生的成长。遵循学生身心发展规律，以学生发展为本，培养学生的职业兴趣、学习兴趣和自信心，激发学生的主动性和创造性，发挥学生特长，挖掘学生潜质，为每一个学生提供适合的教育，提高学生的就业能力、创业能力和终身学习的能力，促进学生健康快乐成长，学有所长，全面发展。 </w:t>
      </w:r>
    </w:p>
    <w:p w14:paraId="0EBCC5CD">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方正楷体_GBK" w:hAnsi="方正楷体_GBK" w:eastAsia="方正楷体_GBK" w:cs="方正楷体_GBK"/>
          <w:bCs w:val="0"/>
          <w:color w:val="auto"/>
          <w:kern w:val="0"/>
          <w:sz w:val="32"/>
          <w:szCs w:val="32"/>
          <w:lang w:val="en-US" w:eastAsia="zh-CN" w:bidi="ar-SA"/>
        </w:rPr>
        <w:t>（二）心理素质</w:t>
      </w:r>
      <w:r>
        <w:rPr>
          <w:rFonts w:hint="eastAsia" w:ascii="Times New Roman" w:hAnsi="Times New Roman" w:eastAsia="方正仿宋_GBK" w:cs="Times New Roman"/>
          <w:bCs w:val="0"/>
          <w:color w:val="auto"/>
          <w:kern w:val="0"/>
          <w:sz w:val="32"/>
          <w:szCs w:val="32"/>
          <w:lang w:val="en-US" w:eastAsia="zh-CN" w:bidi="ar-SA"/>
        </w:rPr>
        <w:t xml:space="preserve"> </w:t>
      </w:r>
    </w:p>
    <w:p w14:paraId="40DA55C4">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1.积极、开朗，有自信心。具有积极向上的精神，主动热情工作；具有坚定顽强的精神，不怕困难。</w:t>
      </w:r>
    </w:p>
    <w:p w14:paraId="729AEDD2">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2.有较强的情绪调节与自控能力。能够有条不紊地工作，不急不躁；能够冷静处理问题，有应变能力；能公正地看待问题，不偏激，不固执。</w:t>
      </w:r>
    </w:p>
    <w:p w14:paraId="2E0AC379">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方正楷体_GBK" w:hAnsi="方正楷体_GBK" w:eastAsia="方正楷体_GBK" w:cs="方正楷体_GBK"/>
          <w:bCs w:val="0"/>
          <w:color w:val="auto"/>
          <w:kern w:val="0"/>
          <w:sz w:val="32"/>
          <w:szCs w:val="32"/>
          <w:lang w:val="en-US" w:eastAsia="zh-CN" w:bidi="ar-SA"/>
        </w:rPr>
        <w:t>（三）仪表仪态</w:t>
      </w:r>
      <w:r>
        <w:rPr>
          <w:rFonts w:hint="eastAsia" w:ascii="Times New Roman" w:hAnsi="Times New Roman" w:eastAsia="方正仿宋_GBK" w:cs="Times New Roman"/>
          <w:bCs w:val="0"/>
          <w:color w:val="auto"/>
          <w:kern w:val="0"/>
          <w:sz w:val="32"/>
          <w:szCs w:val="32"/>
          <w:lang w:val="en-US" w:eastAsia="zh-CN" w:bidi="ar-SA"/>
        </w:rPr>
        <w:t xml:space="preserve"> </w:t>
      </w:r>
    </w:p>
    <w:p w14:paraId="1F49AFCB">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1.仪表整洁，符合教育职业和场景要求。</w:t>
      </w:r>
    </w:p>
    <w:p w14:paraId="63D76ECC">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2.举止大方，肢体语言得体，符合教师礼仪和教学内容要求。</w:t>
      </w:r>
    </w:p>
    <w:p w14:paraId="325C6E3E">
      <w:pPr>
        <w:adjustRightInd w:val="0"/>
        <w:snapToGrid w:val="0"/>
        <w:spacing w:line="600" w:lineRule="exact"/>
        <w:ind w:firstLine="640" w:firstLineChars="200"/>
        <w:rPr>
          <w:rFonts w:hint="eastAsia" w:ascii="方正楷体_GBK" w:hAnsi="方正楷体_GBK" w:eastAsia="方正楷体_GBK" w:cs="方正楷体_GBK"/>
          <w:bCs w:val="0"/>
          <w:color w:val="auto"/>
          <w:kern w:val="0"/>
          <w:sz w:val="32"/>
          <w:szCs w:val="32"/>
          <w:lang w:val="en-US" w:eastAsia="zh-CN" w:bidi="ar-SA"/>
        </w:rPr>
      </w:pPr>
      <w:r>
        <w:rPr>
          <w:rFonts w:hint="eastAsia" w:ascii="方正楷体_GBK" w:hAnsi="方正楷体_GBK" w:eastAsia="方正楷体_GBK" w:cs="方正楷体_GBK"/>
          <w:bCs w:val="0"/>
          <w:color w:val="auto"/>
          <w:kern w:val="0"/>
          <w:sz w:val="32"/>
          <w:szCs w:val="32"/>
          <w:lang w:val="en-US" w:eastAsia="zh-CN" w:bidi="ar-SA"/>
        </w:rPr>
        <w:t xml:space="preserve">（四）言语表达 </w:t>
      </w:r>
    </w:p>
    <w:p w14:paraId="0C05259D">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1.语言清晰，语速适宜，表达准确。口齿清楚，讲话流利，发音标准，声音洪亮，语速适宜；讲话中心明确，层次分明，表达完整，有感染力。 </w:t>
      </w:r>
    </w:p>
    <w:p w14:paraId="2EE23582">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2.善于倾听、交流，有亲和力。具有较强的口头表达能力，善于倾听别人的意见，并能够较准确地表达自己的观点；在交流中尊重对方、态度和蔼。 </w:t>
      </w:r>
    </w:p>
    <w:p w14:paraId="736C3B16">
      <w:pPr>
        <w:adjustRightInd w:val="0"/>
        <w:snapToGrid w:val="0"/>
        <w:spacing w:line="600" w:lineRule="exact"/>
        <w:ind w:firstLine="640" w:firstLineChars="200"/>
        <w:rPr>
          <w:rFonts w:hint="eastAsia" w:ascii="方正楷体_GBK" w:hAnsi="方正楷体_GBK" w:eastAsia="方正楷体_GBK" w:cs="方正楷体_GBK"/>
          <w:bCs w:val="0"/>
          <w:color w:val="auto"/>
          <w:kern w:val="0"/>
          <w:sz w:val="32"/>
          <w:szCs w:val="32"/>
          <w:lang w:val="en-US" w:eastAsia="zh-CN" w:bidi="ar-SA"/>
        </w:rPr>
      </w:pPr>
      <w:r>
        <w:rPr>
          <w:rFonts w:hint="eastAsia" w:ascii="方正楷体_GBK" w:hAnsi="方正楷体_GBK" w:eastAsia="方正楷体_GBK" w:cs="方正楷体_GBK"/>
          <w:bCs w:val="0"/>
          <w:color w:val="auto"/>
          <w:kern w:val="0"/>
          <w:sz w:val="32"/>
          <w:szCs w:val="32"/>
          <w:lang w:val="en-US" w:eastAsia="zh-CN" w:bidi="ar-SA"/>
        </w:rPr>
        <w:t xml:space="preserve">（五）思维品质 </w:t>
      </w:r>
    </w:p>
    <w:p w14:paraId="1D32C8B6">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1.能够迅速、准确地理解和分析问题，有较强的综合分析能力。 </w:t>
      </w:r>
    </w:p>
    <w:p w14:paraId="5CD1888B">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2.能够清晰有条理地陈述问题，有较强的逻辑性。 </w:t>
      </w:r>
    </w:p>
    <w:p w14:paraId="712E1A49">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3.能够比较全面地看待问题，思维灵活。 </w:t>
      </w:r>
    </w:p>
    <w:p w14:paraId="66B1D7B1">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4.能够提出具有创新性的解决问题的思路和方法。 </w:t>
      </w:r>
    </w:p>
    <w:p w14:paraId="37133689">
      <w:pPr>
        <w:adjustRightInd w:val="0"/>
        <w:snapToGrid w:val="0"/>
        <w:spacing w:line="600" w:lineRule="exact"/>
        <w:ind w:firstLine="640" w:firstLineChars="200"/>
        <w:rPr>
          <w:rFonts w:hint="eastAsia" w:ascii="方正楷体_GBK" w:hAnsi="方正楷体_GBK" w:eastAsia="方正楷体_GBK" w:cs="方正楷体_GBK"/>
          <w:bCs w:val="0"/>
          <w:color w:val="auto"/>
          <w:kern w:val="0"/>
          <w:sz w:val="32"/>
          <w:szCs w:val="32"/>
          <w:lang w:val="en-US" w:eastAsia="zh-CN" w:bidi="ar-SA"/>
        </w:rPr>
      </w:pPr>
      <w:r>
        <w:rPr>
          <w:rFonts w:hint="eastAsia" w:ascii="方正楷体_GBK" w:hAnsi="方正楷体_GBK" w:eastAsia="方正楷体_GBK" w:cs="方正楷体_GBK"/>
          <w:bCs w:val="0"/>
          <w:color w:val="auto"/>
          <w:kern w:val="0"/>
          <w:sz w:val="32"/>
          <w:szCs w:val="32"/>
          <w:lang w:val="en-US" w:eastAsia="zh-CN" w:bidi="ar-SA"/>
        </w:rPr>
        <w:t xml:space="preserve">（六）教学设计 </w:t>
      </w:r>
    </w:p>
    <w:p w14:paraId="214A8C56">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1.能体现所任专业对应行业的产业和技术发展的现状和趋势，了解教学课程在专业人才培养中的地位、作用。 </w:t>
      </w:r>
    </w:p>
    <w:p w14:paraId="79BF853D">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2.能根据所任专业的基础知识和专业特点，准确把握教学目标、教学内容、教学重点和难点。 </w:t>
      </w:r>
    </w:p>
    <w:p w14:paraId="225D1689">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3.能体现学生的主体性，教学方法和手段符合中等职业学校学生特点、内容要求和场景要求，因材施教。 </w:t>
      </w:r>
    </w:p>
    <w:p w14:paraId="24472000">
      <w:pPr>
        <w:adjustRightInd w:val="0"/>
        <w:snapToGrid w:val="0"/>
        <w:spacing w:line="600" w:lineRule="exact"/>
        <w:ind w:firstLine="640" w:firstLineChars="200"/>
        <w:rPr>
          <w:rFonts w:hint="eastAsia" w:ascii="方正楷体_GBK" w:hAnsi="方正楷体_GBK" w:eastAsia="方正楷体_GBK" w:cs="方正楷体_GBK"/>
          <w:bCs w:val="0"/>
          <w:color w:val="auto"/>
          <w:kern w:val="0"/>
          <w:sz w:val="32"/>
          <w:szCs w:val="32"/>
          <w:lang w:val="en-US" w:eastAsia="zh-CN" w:bidi="ar-SA"/>
        </w:rPr>
      </w:pPr>
      <w:r>
        <w:rPr>
          <w:rFonts w:hint="eastAsia" w:ascii="方正楷体_GBK" w:hAnsi="方正楷体_GBK" w:eastAsia="方正楷体_GBK" w:cs="方正楷体_GBK"/>
          <w:bCs w:val="0"/>
          <w:color w:val="auto"/>
          <w:kern w:val="0"/>
          <w:sz w:val="32"/>
          <w:szCs w:val="32"/>
          <w:lang w:val="en-US" w:eastAsia="zh-CN" w:bidi="ar-SA"/>
        </w:rPr>
        <w:t xml:space="preserve">（七）教学实施 </w:t>
      </w:r>
    </w:p>
    <w:p w14:paraId="0CE5B6A4">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1.能够有效地组织学生的学习活动，注重激发学生的学习兴趣，有与学生交流的意识。</w:t>
      </w:r>
    </w:p>
    <w:p w14:paraId="163AC960">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2.能够科学准确地表达和呈现教学主题、教学目标、教学内容和教学要求，主题突出，层次分明，板书工整、美观、适量。 </w:t>
      </w:r>
    </w:p>
    <w:p w14:paraId="3CEB0858">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3.能合理运用教学设备或实训设备展示操作技能和操作技术规范，有良好的安全意识。</w:t>
      </w:r>
    </w:p>
    <w:p w14:paraId="030767D4">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4.能够较好地控制教学时间和教学节奏，合理运用信息化手段，较好地达成教学目标。 </w:t>
      </w:r>
    </w:p>
    <w:p w14:paraId="37AB22C5">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方正楷体_GBK" w:hAnsi="方正楷体_GBK" w:eastAsia="方正楷体_GBK" w:cs="方正楷体_GBK"/>
          <w:bCs w:val="0"/>
          <w:color w:val="auto"/>
          <w:kern w:val="0"/>
          <w:sz w:val="32"/>
          <w:szCs w:val="32"/>
          <w:lang w:val="en-US" w:eastAsia="zh-CN" w:bidi="ar-SA"/>
        </w:rPr>
        <w:t>（八）教学评价</w:t>
      </w:r>
      <w:r>
        <w:rPr>
          <w:rFonts w:hint="eastAsia" w:ascii="Times New Roman" w:hAnsi="Times New Roman" w:eastAsia="方正仿宋_GBK" w:cs="Times New Roman"/>
          <w:bCs w:val="0"/>
          <w:color w:val="auto"/>
          <w:kern w:val="0"/>
          <w:sz w:val="32"/>
          <w:szCs w:val="32"/>
          <w:lang w:val="en-US" w:eastAsia="zh-CN" w:bidi="ar-SA"/>
        </w:rPr>
        <w:t xml:space="preserve"> </w:t>
      </w:r>
    </w:p>
    <w:p w14:paraId="6D00125E">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1.在教学实施过程中注重对学生进行评价。 </w:t>
      </w:r>
    </w:p>
    <w:p w14:paraId="4D2EDD1A">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2.能客观评价自己的教学效果。 </w:t>
      </w:r>
    </w:p>
    <w:p w14:paraId="711C180C">
      <w:pPr>
        <w:adjustRightInd w:val="0"/>
        <w:snapToGrid w:val="0"/>
        <w:spacing w:line="600" w:lineRule="exact"/>
        <w:ind w:firstLine="640" w:firstLineChars="200"/>
        <w:rPr>
          <w:rFonts w:hint="eastAsia" w:ascii="黑体" w:hAnsi="黑体" w:eastAsia="黑体" w:cs="黑体"/>
          <w:bCs w:val="0"/>
          <w:color w:val="auto"/>
          <w:kern w:val="0"/>
          <w:sz w:val="32"/>
          <w:szCs w:val="32"/>
          <w:lang w:val="en-US" w:eastAsia="zh-CN" w:bidi="ar-SA"/>
        </w:rPr>
      </w:pPr>
      <w:r>
        <w:rPr>
          <w:rFonts w:hint="eastAsia" w:ascii="黑体" w:hAnsi="黑体" w:eastAsia="黑体" w:cs="黑体"/>
          <w:bCs w:val="0"/>
          <w:color w:val="auto"/>
          <w:kern w:val="0"/>
          <w:sz w:val="32"/>
          <w:szCs w:val="32"/>
          <w:lang w:val="en-US" w:eastAsia="zh-CN" w:bidi="ar-SA"/>
        </w:rPr>
        <w:t xml:space="preserve">四、测试方法与流程 </w:t>
      </w:r>
    </w:p>
    <w:p w14:paraId="139EA6DA">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（一）测试方法采取结构化面试和情境模拟相结合的方法，通过抽题、备课、专业概述、试讲（演示）、答辩等方式进行。</w:t>
      </w:r>
    </w:p>
    <w:p w14:paraId="44A9E8B2">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（二）测试流程 </w:t>
      </w:r>
    </w:p>
    <w:p w14:paraId="3EA5F571">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1.抽取试题。考生根据自己所报考的专业，自带一本正式出版的本专业中职或以上学校的专业课教材，工作人员在教材中随机抽取章节作为考试题目。</w:t>
      </w:r>
    </w:p>
    <w:p w14:paraId="6384F91A">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抽题方法：第一步，抽题室工作人员对教材进行审核，查看本教材有多少章，用相应的号码球对应不同的章，由考生随机抽取第几章；第二步，工作人员查看考生抽取的章含多少节，用相应的号码球对应不同的节，由考生随机抽取相应的节；第三步，工作人员将考生随机抽取的章节内容作为备课和试讲内容，登记在备课纸上，考生签名确认。</w:t>
      </w:r>
    </w:p>
    <w:p w14:paraId="66D20121">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2.备课。考生根据抽取的备课内容，进行教学设计。时间20分钟。报考专业课教师应按理论课或理实一体化课的要求，进行教学设计。报考实习指导教师应按实验实训课的要求，进行教学设计。 </w:t>
      </w:r>
    </w:p>
    <w:p w14:paraId="66B77491">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3.专业概述。考生针对拟任教专业进行专业概述。时间5分钟。 </w:t>
      </w:r>
    </w:p>
    <w:p w14:paraId="50F94E0F">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4.试讲（演示）。考生按照准备的教学方案进行试讲（或演示）。时间10分钟。 </w:t>
      </w:r>
    </w:p>
    <w:p w14:paraId="5B441B39">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 xml:space="preserve">5.答辩。考官进行提问，考生答辩。时间5分钟。 </w:t>
      </w:r>
    </w:p>
    <w:p w14:paraId="6CC09E37">
      <w:pPr>
        <w:adjustRightInd w:val="0"/>
        <w:snapToGrid w:val="0"/>
        <w:spacing w:line="600" w:lineRule="exact"/>
        <w:ind w:firstLine="640" w:firstLineChars="200"/>
        <w:rPr>
          <w:rFonts w:hint="eastAsia" w:ascii="Times New Roman" w:hAnsi="Times New Roman" w:eastAsia="方正仿宋_GBK" w:cs="Times New Roman"/>
          <w:bCs w:val="0"/>
          <w:color w:val="auto"/>
          <w:kern w:val="0"/>
          <w:sz w:val="32"/>
          <w:szCs w:val="32"/>
          <w:lang w:val="en-US" w:eastAsia="zh-CN" w:bidi="ar-SA"/>
        </w:rPr>
      </w:pPr>
      <w:r>
        <w:rPr>
          <w:rFonts w:hint="eastAsia" w:ascii="Times New Roman" w:hAnsi="Times New Roman" w:eastAsia="方正仿宋_GBK" w:cs="Times New Roman"/>
          <w:bCs w:val="0"/>
          <w:color w:val="auto"/>
          <w:kern w:val="0"/>
          <w:sz w:val="32"/>
          <w:szCs w:val="32"/>
          <w:lang w:val="en-US" w:eastAsia="zh-CN" w:bidi="ar-SA"/>
        </w:rPr>
        <w:t>6.评分。考官根据考生面试过程中的表现，进行综合性评分。</w:t>
      </w:r>
    </w:p>
    <w:p w14:paraId="3EE1771A">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五、评分标准</w:t>
      </w:r>
    </w:p>
    <w:tbl>
      <w:tblPr>
        <w:tblStyle w:val="6"/>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7"/>
        <w:gridCol w:w="1551"/>
        <w:gridCol w:w="985"/>
        <w:gridCol w:w="3574"/>
      </w:tblGrid>
      <w:tr w14:paraId="4B14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Align w:val="center"/>
          </w:tcPr>
          <w:p w14:paraId="17C168D5">
            <w:pPr>
              <w:adjustRightInd w:val="0"/>
              <w:snapToGrid w:val="0"/>
              <w:jc w:val="center"/>
              <w:rPr>
                <w:rFonts w:ascii="仿宋_GB2312" w:hAnsi="仿宋" w:eastAsia="仿宋_GB2312" w:cs="Times New Roman"/>
                <w:b/>
                <w:kern w:val="0"/>
                <w:sz w:val="24"/>
                <w:szCs w:val="24"/>
              </w:rPr>
            </w:pPr>
            <w:r>
              <w:rPr>
                <w:rFonts w:hint="eastAsia" w:ascii="仿宋_GB2312" w:hAnsi="仿宋" w:eastAsia="仿宋_GB2312" w:cs="Times New Roman"/>
                <w:b/>
                <w:kern w:val="0"/>
                <w:sz w:val="24"/>
                <w:szCs w:val="24"/>
              </w:rPr>
              <w:t>序号</w:t>
            </w:r>
          </w:p>
        </w:tc>
        <w:tc>
          <w:tcPr>
            <w:tcW w:w="1127" w:type="dxa"/>
            <w:vAlign w:val="center"/>
          </w:tcPr>
          <w:p w14:paraId="358CA56A">
            <w:pPr>
              <w:adjustRightInd w:val="0"/>
              <w:snapToGrid w:val="0"/>
              <w:jc w:val="center"/>
              <w:rPr>
                <w:rFonts w:ascii="仿宋_GB2312" w:hAnsi="仿宋" w:eastAsia="仿宋_GB2312" w:cs="Times New Roman"/>
                <w:b/>
                <w:kern w:val="0"/>
                <w:sz w:val="24"/>
                <w:szCs w:val="24"/>
              </w:rPr>
            </w:pPr>
            <w:r>
              <w:rPr>
                <w:rFonts w:hint="eastAsia" w:ascii="仿宋_GB2312" w:hAnsi="仿宋" w:eastAsia="仿宋_GB2312" w:cs="Times New Roman"/>
                <w:b/>
                <w:kern w:val="0"/>
                <w:sz w:val="24"/>
                <w:szCs w:val="24"/>
              </w:rPr>
              <w:t>测试</w:t>
            </w:r>
          </w:p>
          <w:p w14:paraId="183C3F4A">
            <w:pPr>
              <w:adjustRightInd w:val="0"/>
              <w:snapToGrid w:val="0"/>
              <w:jc w:val="center"/>
              <w:rPr>
                <w:rFonts w:ascii="仿宋_GB2312" w:hAnsi="仿宋" w:eastAsia="仿宋_GB2312" w:cs="Times New Roman"/>
                <w:b/>
                <w:kern w:val="0"/>
                <w:sz w:val="24"/>
                <w:szCs w:val="24"/>
              </w:rPr>
            </w:pPr>
            <w:r>
              <w:rPr>
                <w:rFonts w:hint="eastAsia" w:ascii="仿宋_GB2312" w:hAnsi="仿宋" w:eastAsia="仿宋_GB2312" w:cs="Times New Roman"/>
                <w:b/>
                <w:kern w:val="0"/>
                <w:sz w:val="24"/>
                <w:szCs w:val="24"/>
              </w:rPr>
              <w:t>项目</w:t>
            </w:r>
          </w:p>
        </w:tc>
        <w:tc>
          <w:tcPr>
            <w:tcW w:w="1551" w:type="dxa"/>
            <w:vAlign w:val="center"/>
          </w:tcPr>
          <w:p w14:paraId="07F37F20">
            <w:pPr>
              <w:adjustRightInd w:val="0"/>
              <w:snapToGrid w:val="0"/>
              <w:ind w:firstLine="241" w:firstLineChars="100"/>
              <w:jc w:val="center"/>
              <w:rPr>
                <w:rFonts w:ascii="仿宋_GB2312" w:hAnsi="仿宋" w:eastAsia="仿宋_GB2312" w:cs="Times New Roman"/>
                <w:b/>
                <w:kern w:val="0"/>
                <w:sz w:val="24"/>
                <w:szCs w:val="24"/>
              </w:rPr>
            </w:pPr>
            <w:r>
              <w:rPr>
                <w:rFonts w:hint="eastAsia" w:ascii="仿宋_GB2312" w:hAnsi="仿宋" w:eastAsia="仿宋_GB2312" w:cs="Times New Roman"/>
                <w:b/>
                <w:kern w:val="0"/>
                <w:sz w:val="24"/>
                <w:szCs w:val="24"/>
              </w:rPr>
              <w:t>权重</w:t>
            </w:r>
          </w:p>
        </w:tc>
        <w:tc>
          <w:tcPr>
            <w:tcW w:w="985" w:type="dxa"/>
            <w:vAlign w:val="center"/>
          </w:tcPr>
          <w:p w14:paraId="51F58562">
            <w:pPr>
              <w:adjustRightInd w:val="0"/>
              <w:snapToGrid w:val="0"/>
              <w:jc w:val="center"/>
              <w:rPr>
                <w:rFonts w:ascii="仿宋_GB2312" w:hAnsi="仿宋" w:eastAsia="仿宋_GB2312" w:cs="Times New Roman"/>
                <w:b/>
                <w:kern w:val="0"/>
                <w:sz w:val="24"/>
                <w:szCs w:val="24"/>
              </w:rPr>
            </w:pPr>
            <w:r>
              <w:rPr>
                <w:rFonts w:hint="eastAsia" w:ascii="仿宋_GB2312" w:hAnsi="仿宋" w:eastAsia="仿宋_GB2312" w:cs="Times New Roman"/>
                <w:b/>
                <w:kern w:val="0"/>
                <w:sz w:val="24"/>
                <w:szCs w:val="24"/>
              </w:rPr>
              <w:t>分值</w:t>
            </w:r>
          </w:p>
        </w:tc>
        <w:tc>
          <w:tcPr>
            <w:tcW w:w="3574" w:type="dxa"/>
            <w:vAlign w:val="center"/>
          </w:tcPr>
          <w:p w14:paraId="27CF192A">
            <w:pPr>
              <w:adjustRightInd w:val="0"/>
              <w:snapToGrid w:val="0"/>
              <w:jc w:val="center"/>
              <w:rPr>
                <w:rFonts w:ascii="仿宋_GB2312" w:hAnsi="仿宋" w:eastAsia="仿宋_GB2312" w:cs="Times New Roman"/>
                <w:b/>
                <w:kern w:val="0"/>
                <w:sz w:val="24"/>
                <w:szCs w:val="24"/>
              </w:rPr>
            </w:pPr>
            <w:r>
              <w:rPr>
                <w:rFonts w:hint="eastAsia" w:ascii="仿宋_GB2312" w:hAnsi="仿宋" w:eastAsia="仿宋_GB2312" w:cs="Times New Roman"/>
                <w:b/>
                <w:kern w:val="0"/>
                <w:sz w:val="24"/>
                <w:szCs w:val="24"/>
              </w:rPr>
              <w:t>评分标准</w:t>
            </w:r>
          </w:p>
        </w:tc>
      </w:tr>
      <w:tr w14:paraId="5E99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restart"/>
            <w:vAlign w:val="center"/>
          </w:tcPr>
          <w:p w14:paraId="0AE0F758">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一</w:t>
            </w:r>
          </w:p>
        </w:tc>
        <w:tc>
          <w:tcPr>
            <w:tcW w:w="1127" w:type="dxa"/>
            <w:vMerge w:val="restart"/>
            <w:vAlign w:val="center"/>
          </w:tcPr>
          <w:p w14:paraId="0B52FDDD">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职业认知</w:t>
            </w:r>
          </w:p>
        </w:tc>
        <w:tc>
          <w:tcPr>
            <w:tcW w:w="1551" w:type="dxa"/>
            <w:vMerge w:val="restart"/>
            <w:vAlign w:val="center"/>
          </w:tcPr>
          <w:p w14:paraId="0F1D72FC">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5</w:t>
            </w:r>
          </w:p>
        </w:tc>
        <w:tc>
          <w:tcPr>
            <w:tcW w:w="985" w:type="dxa"/>
            <w:vAlign w:val="center"/>
          </w:tcPr>
          <w:p w14:paraId="7330F204">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p>
        </w:tc>
        <w:tc>
          <w:tcPr>
            <w:tcW w:w="3574" w:type="dxa"/>
          </w:tcPr>
          <w:p w14:paraId="319DF454">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热爱教育事业，有较强的重教愿望，能正确认识、理解中等职业教育专业课教师和实习指导教师的职业特征，遵守教师职业道德规范。</w:t>
            </w:r>
          </w:p>
        </w:tc>
      </w:tr>
      <w:tr w14:paraId="6D61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14:paraId="03482B4D">
            <w:pPr>
              <w:adjustRightInd w:val="0"/>
              <w:snapToGrid w:val="0"/>
              <w:jc w:val="center"/>
              <w:rPr>
                <w:rFonts w:ascii="仿宋_GB2312" w:hAnsi="仿宋" w:eastAsia="仿宋_GB2312" w:cs="Times New Roman"/>
                <w:kern w:val="0"/>
                <w:sz w:val="24"/>
                <w:szCs w:val="24"/>
              </w:rPr>
            </w:pPr>
          </w:p>
        </w:tc>
        <w:tc>
          <w:tcPr>
            <w:tcW w:w="1127" w:type="dxa"/>
            <w:vMerge w:val="continue"/>
            <w:vAlign w:val="center"/>
          </w:tcPr>
          <w:p w14:paraId="3EF19A99">
            <w:pPr>
              <w:adjustRightInd w:val="0"/>
              <w:snapToGrid w:val="0"/>
              <w:jc w:val="center"/>
              <w:rPr>
                <w:rFonts w:ascii="仿宋_GB2312" w:hAnsi="仿宋" w:eastAsia="仿宋_GB2312" w:cs="Times New Roman"/>
                <w:kern w:val="0"/>
                <w:sz w:val="24"/>
                <w:szCs w:val="24"/>
              </w:rPr>
            </w:pPr>
          </w:p>
        </w:tc>
        <w:tc>
          <w:tcPr>
            <w:tcW w:w="1551" w:type="dxa"/>
            <w:vMerge w:val="continue"/>
            <w:vAlign w:val="center"/>
          </w:tcPr>
          <w:p w14:paraId="75129851">
            <w:pPr>
              <w:adjustRightInd w:val="0"/>
              <w:snapToGrid w:val="0"/>
              <w:jc w:val="center"/>
              <w:rPr>
                <w:rFonts w:ascii="仿宋_GB2312" w:hAnsi="仿宋" w:eastAsia="仿宋_GB2312" w:cs="Times New Roman"/>
                <w:kern w:val="0"/>
                <w:sz w:val="24"/>
                <w:szCs w:val="24"/>
              </w:rPr>
            </w:pPr>
          </w:p>
        </w:tc>
        <w:tc>
          <w:tcPr>
            <w:tcW w:w="985" w:type="dxa"/>
            <w:vAlign w:val="center"/>
          </w:tcPr>
          <w:p w14:paraId="33EBD03A">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p>
        </w:tc>
        <w:tc>
          <w:tcPr>
            <w:tcW w:w="3574" w:type="dxa"/>
          </w:tcPr>
          <w:p w14:paraId="6AF5209D">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关爱学生、尊重学生、公正平等对待学生、关注每个学生的成长。</w:t>
            </w:r>
          </w:p>
        </w:tc>
      </w:tr>
      <w:tr w14:paraId="36B7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restart"/>
            <w:vAlign w:val="center"/>
          </w:tcPr>
          <w:p w14:paraId="4232B5A8">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二</w:t>
            </w:r>
          </w:p>
        </w:tc>
        <w:tc>
          <w:tcPr>
            <w:tcW w:w="1127" w:type="dxa"/>
            <w:vMerge w:val="restart"/>
            <w:vAlign w:val="center"/>
          </w:tcPr>
          <w:p w14:paraId="3EB9524E">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心理素质</w:t>
            </w:r>
          </w:p>
        </w:tc>
        <w:tc>
          <w:tcPr>
            <w:tcW w:w="1551" w:type="dxa"/>
            <w:vMerge w:val="restart"/>
            <w:vAlign w:val="center"/>
          </w:tcPr>
          <w:p w14:paraId="2808D892">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5</w:t>
            </w:r>
          </w:p>
        </w:tc>
        <w:tc>
          <w:tcPr>
            <w:tcW w:w="985" w:type="dxa"/>
            <w:vAlign w:val="center"/>
          </w:tcPr>
          <w:p w14:paraId="73C4FBB7">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p>
        </w:tc>
        <w:tc>
          <w:tcPr>
            <w:tcW w:w="3574" w:type="dxa"/>
          </w:tcPr>
          <w:p w14:paraId="57465598">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积极、开朗、有自信心</w:t>
            </w:r>
          </w:p>
        </w:tc>
      </w:tr>
      <w:tr w14:paraId="178E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14:paraId="01E44B0B">
            <w:pPr>
              <w:adjustRightInd w:val="0"/>
              <w:snapToGrid w:val="0"/>
              <w:jc w:val="center"/>
              <w:rPr>
                <w:rFonts w:ascii="仿宋_GB2312" w:hAnsi="仿宋" w:eastAsia="仿宋_GB2312" w:cs="Times New Roman"/>
                <w:kern w:val="0"/>
                <w:sz w:val="24"/>
                <w:szCs w:val="24"/>
              </w:rPr>
            </w:pPr>
          </w:p>
        </w:tc>
        <w:tc>
          <w:tcPr>
            <w:tcW w:w="1127" w:type="dxa"/>
            <w:vMerge w:val="continue"/>
            <w:vAlign w:val="center"/>
          </w:tcPr>
          <w:p w14:paraId="323C5761">
            <w:pPr>
              <w:adjustRightInd w:val="0"/>
              <w:snapToGrid w:val="0"/>
              <w:jc w:val="center"/>
              <w:rPr>
                <w:rFonts w:ascii="仿宋_GB2312" w:hAnsi="仿宋" w:eastAsia="仿宋_GB2312" w:cs="Times New Roman"/>
                <w:kern w:val="0"/>
                <w:sz w:val="24"/>
                <w:szCs w:val="24"/>
              </w:rPr>
            </w:pPr>
          </w:p>
        </w:tc>
        <w:tc>
          <w:tcPr>
            <w:tcW w:w="1551" w:type="dxa"/>
            <w:vMerge w:val="continue"/>
            <w:vAlign w:val="center"/>
          </w:tcPr>
          <w:p w14:paraId="1432292F">
            <w:pPr>
              <w:adjustRightInd w:val="0"/>
              <w:snapToGrid w:val="0"/>
              <w:jc w:val="center"/>
              <w:rPr>
                <w:rFonts w:ascii="仿宋_GB2312" w:hAnsi="仿宋" w:eastAsia="仿宋_GB2312" w:cs="Times New Roman"/>
                <w:kern w:val="0"/>
                <w:sz w:val="24"/>
                <w:szCs w:val="24"/>
              </w:rPr>
            </w:pPr>
          </w:p>
        </w:tc>
        <w:tc>
          <w:tcPr>
            <w:tcW w:w="985" w:type="dxa"/>
            <w:vAlign w:val="center"/>
          </w:tcPr>
          <w:p w14:paraId="323CF590">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p>
        </w:tc>
        <w:tc>
          <w:tcPr>
            <w:tcW w:w="3574" w:type="dxa"/>
          </w:tcPr>
          <w:p w14:paraId="398682FD">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有较强的情绪调节与自控能力</w:t>
            </w:r>
          </w:p>
        </w:tc>
      </w:tr>
      <w:tr w14:paraId="21B2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restart"/>
            <w:vAlign w:val="center"/>
          </w:tcPr>
          <w:p w14:paraId="5F30EB37">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三</w:t>
            </w:r>
          </w:p>
        </w:tc>
        <w:tc>
          <w:tcPr>
            <w:tcW w:w="1127" w:type="dxa"/>
            <w:vMerge w:val="restart"/>
            <w:vAlign w:val="center"/>
          </w:tcPr>
          <w:p w14:paraId="1AA362F0">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仪表仪态</w:t>
            </w:r>
          </w:p>
        </w:tc>
        <w:tc>
          <w:tcPr>
            <w:tcW w:w="1551" w:type="dxa"/>
            <w:vMerge w:val="restart"/>
            <w:vAlign w:val="center"/>
          </w:tcPr>
          <w:p w14:paraId="6AA512DB">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5</w:t>
            </w:r>
          </w:p>
        </w:tc>
        <w:tc>
          <w:tcPr>
            <w:tcW w:w="985" w:type="dxa"/>
            <w:vAlign w:val="center"/>
          </w:tcPr>
          <w:p w14:paraId="72059913">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2</w:t>
            </w:r>
          </w:p>
        </w:tc>
        <w:tc>
          <w:tcPr>
            <w:tcW w:w="3574" w:type="dxa"/>
          </w:tcPr>
          <w:p w14:paraId="483FC3DE">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衣着整洁，仪表得体，符合中等职业教育专业课教师和实习指导教师职业特点。</w:t>
            </w:r>
          </w:p>
        </w:tc>
      </w:tr>
      <w:tr w14:paraId="21CC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14:paraId="3AE6DDB0">
            <w:pPr>
              <w:adjustRightInd w:val="0"/>
              <w:snapToGrid w:val="0"/>
              <w:jc w:val="center"/>
              <w:rPr>
                <w:rFonts w:ascii="仿宋_GB2312" w:hAnsi="仿宋" w:eastAsia="仿宋_GB2312" w:cs="Times New Roman"/>
                <w:kern w:val="0"/>
                <w:sz w:val="24"/>
                <w:szCs w:val="24"/>
              </w:rPr>
            </w:pPr>
          </w:p>
        </w:tc>
        <w:tc>
          <w:tcPr>
            <w:tcW w:w="1127" w:type="dxa"/>
            <w:vMerge w:val="continue"/>
            <w:vAlign w:val="center"/>
          </w:tcPr>
          <w:p w14:paraId="718CDF4F">
            <w:pPr>
              <w:adjustRightInd w:val="0"/>
              <w:snapToGrid w:val="0"/>
              <w:jc w:val="center"/>
              <w:rPr>
                <w:rFonts w:ascii="仿宋_GB2312" w:hAnsi="仿宋" w:eastAsia="仿宋_GB2312" w:cs="Times New Roman"/>
                <w:kern w:val="0"/>
                <w:sz w:val="24"/>
                <w:szCs w:val="24"/>
              </w:rPr>
            </w:pPr>
          </w:p>
        </w:tc>
        <w:tc>
          <w:tcPr>
            <w:tcW w:w="1551" w:type="dxa"/>
            <w:vMerge w:val="continue"/>
            <w:vAlign w:val="center"/>
          </w:tcPr>
          <w:p w14:paraId="08AE2D6A">
            <w:pPr>
              <w:adjustRightInd w:val="0"/>
              <w:snapToGrid w:val="0"/>
              <w:jc w:val="center"/>
              <w:rPr>
                <w:rFonts w:ascii="仿宋_GB2312" w:hAnsi="仿宋" w:eastAsia="仿宋_GB2312" w:cs="Times New Roman"/>
                <w:kern w:val="0"/>
                <w:sz w:val="24"/>
                <w:szCs w:val="24"/>
              </w:rPr>
            </w:pPr>
          </w:p>
        </w:tc>
        <w:tc>
          <w:tcPr>
            <w:tcW w:w="985" w:type="dxa"/>
            <w:vAlign w:val="center"/>
          </w:tcPr>
          <w:p w14:paraId="4B4D3888">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p>
        </w:tc>
        <w:tc>
          <w:tcPr>
            <w:tcW w:w="3574" w:type="dxa"/>
          </w:tcPr>
          <w:p w14:paraId="1AC251F2">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行为举止稳重端庄大方，教态自然，肢体表达得当。</w:t>
            </w:r>
          </w:p>
        </w:tc>
      </w:tr>
      <w:tr w14:paraId="03BC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restart"/>
            <w:vAlign w:val="center"/>
          </w:tcPr>
          <w:p w14:paraId="3DB21F42">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四</w:t>
            </w:r>
          </w:p>
        </w:tc>
        <w:tc>
          <w:tcPr>
            <w:tcW w:w="1127" w:type="dxa"/>
            <w:vMerge w:val="restart"/>
            <w:vAlign w:val="center"/>
          </w:tcPr>
          <w:p w14:paraId="07A542A5">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言语表达</w:t>
            </w:r>
          </w:p>
        </w:tc>
        <w:tc>
          <w:tcPr>
            <w:tcW w:w="1551" w:type="dxa"/>
            <w:vMerge w:val="restart"/>
            <w:vAlign w:val="center"/>
          </w:tcPr>
          <w:p w14:paraId="3B3D26F6">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10</w:t>
            </w:r>
          </w:p>
        </w:tc>
        <w:tc>
          <w:tcPr>
            <w:tcW w:w="985" w:type="dxa"/>
            <w:vAlign w:val="center"/>
          </w:tcPr>
          <w:p w14:paraId="0B0116C5">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5</w:t>
            </w:r>
          </w:p>
        </w:tc>
        <w:tc>
          <w:tcPr>
            <w:tcW w:w="3574" w:type="dxa"/>
          </w:tcPr>
          <w:p w14:paraId="20853610">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语言清晰，表达准确，语速适宜</w:t>
            </w:r>
          </w:p>
        </w:tc>
      </w:tr>
      <w:tr w14:paraId="54AD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14:paraId="48CBCB6C">
            <w:pPr>
              <w:adjustRightInd w:val="0"/>
              <w:snapToGrid w:val="0"/>
              <w:jc w:val="center"/>
              <w:rPr>
                <w:rFonts w:ascii="仿宋_GB2312" w:hAnsi="仿宋" w:eastAsia="仿宋_GB2312" w:cs="Times New Roman"/>
                <w:kern w:val="0"/>
                <w:sz w:val="24"/>
                <w:szCs w:val="24"/>
              </w:rPr>
            </w:pPr>
          </w:p>
        </w:tc>
        <w:tc>
          <w:tcPr>
            <w:tcW w:w="1127" w:type="dxa"/>
            <w:vMerge w:val="continue"/>
            <w:vAlign w:val="center"/>
          </w:tcPr>
          <w:p w14:paraId="06C943E2">
            <w:pPr>
              <w:adjustRightInd w:val="0"/>
              <w:snapToGrid w:val="0"/>
              <w:jc w:val="center"/>
              <w:rPr>
                <w:rFonts w:ascii="仿宋_GB2312" w:hAnsi="仿宋" w:eastAsia="仿宋_GB2312" w:cs="Times New Roman"/>
                <w:kern w:val="0"/>
                <w:sz w:val="24"/>
                <w:szCs w:val="24"/>
              </w:rPr>
            </w:pPr>
          </w:p>
        </w:tc>
        <w:tc>
          <w:tcPr>
            <w:tcW w:w="1551" w:type="dxa"/>
            <w:vMerge w:val="continue"/>
            <w:vAlign w:val="center"/>
          </w:tcPr>
          <w:p w14:paraId="72F77043">
            <w:pPr>
              <w:adjustRightInd w:val="0"/>
              <w:snapToGrid w:val="0"/>
              <w:jc w:val="center"/>
              <w:rPr>
                <w:rFonts w:ascii="仿宋_GB2312" w:hAnsi="仿宋" w:eastAsia="仿宋_GB2312" w:cs="Times New Roman"/>
                <w:kern w:val="0"/>
                <w:sz w:val="24"/>
                <w:szCs w:val="24"/>
              </w:rPr>
            </w:pPr>
          </w:p>
        </w:tc>
        <w:tc>
          <w:tcPr>
            <w:tcW w:w="985" w:type="dxa"/>
            <w:vAlign w:val="center"/>
          </w:tcPr>
          <w:p w14:paraId="225850BE">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5</w:t>
            </w:r>
          </w:p>
        </w:tc>
        <w:tc>
          <w:tcPr>
            <w:tcW w:w="3574" w:type="dxa"/>
          </w:tcPr>
          <w:p w14:paraId="490ADEA1">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善于倾听、交流，有亲和力</w:t>
            </w:r>
          </w:p>
        </w:tc>
      </w:tr>
      <w:tr w14:paraId="79E1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restart"/>
            <w:vAlign w:val="center"/>
          </w:tcPr>
          <w:p w14:paraId="25357D98">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五</w:t>
            </w:r>
          </w:p>
        </w:tc>
        <w:tc>
          <w:tcPr>
            <w:tcW w:w="1127" w:type="dxa"/>
            <w:vMerge w:val="restart"/>
            <w:vAlign w:val="center"/>
          </w:tcPr>
          <w:p w14:paraId="0636A726">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思维品质</w:t>
            </w:r>
          </w:p>
        </w:tc>
        <w:tc>
          <w:tcPr>
            <w:tcW w:w="1551" w:type="dxa"/>
            <w:vMerge w:val="restart"/>
            <w:vAlign w:val="center"/>
          </w:tcPr>
          <w:p w14:paraId="5C7BE050">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10</w:t>
            </w:r>
          </w:p>
        </w:tc>
        <w:tc>
          <w:tcPr>
            <w:tcW w:w="985" w:type="dxa"/>
            <w:vAlign w:val="center"/>
          </w:tcPr>
          <w:p w14:paraId="5F5A8874">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4</w:t>
            </w:r>
          </w:p>
        </w:tc>
        <w:tc>
          <w:tcPr>
            <w:tcW w:w="3574" w:type="dxa"/>
          </w:tcPr>
          <w:p w14:paraId="45970257">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思维缜密、灵活，富有条理，看待问题全面。</w:t>
            </w:r>
          </w:p>
        </w:tc>
      </w:tr>
      <w:tr w14:paraId="66C2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14:paraId="69A79EF3">
            <w:pPr>
              <w:adjustRightInd w:val="0"/>
              <w:snapToGrid w:val="0"/>
              <w:jc w:val="center"/>
              <w:rPr>
                <w:rFonts w:ascii="仿宋_GB2312" w:hAnsi="仿宋" w:eastAsia="仿宋_GB2312" w:cs="Times New Roman"/>
                <w:kern w:val="0"/>
                <w:sz w:val="24"/>
                <w:szCs w:val="24"/>
              </w:rPr>
            </w:pPr>
          </w:p>
        </w:tc>
        <w:tc>
          <w:tcPr>
            <w:tcW w:w="1127" w:type="dxa"/>
            <w:vMerge w:val="continue"/>
            <w:vAlign w:val="center"/>
          </w:tcPr>
          <w:p w14:paraId="7592FB74">
            <w:pPr>
              <w:adjustRightInd w:val="0"/>
              <w:snapToGrid w:val="0"/>
              <w:jc w:val="center"/>
              <w:rPr>
                <w:rFonts w:ascii="仿宋_GB2312" w:hAnsi="仿宋" w:eastAsia="仿宋_GB2312" w:cs="Times New Roman"/>
                <w:kern w:val="0"/>
                <w:sz w:val="24"/>
                <w:szCs w:val="24"/>
              </w:rPr>
            </w:pPr>
          </w:p>
        </w:tc>
        <w:tc>
          <w:tcPr>
            <w:tcW w:w="1551" w:type="dxa"/>
            <w:vMerge w:val="continue"/>
            <w:vAlign w:val="center"/>
          </w:tcPr>
          <w:p w14:paraId="52246A3B">
            <w:pPr>
              <w:adjustRightInd w:val="0"/>
              <w:snapToGrid w:val="0"/>
              <w:jc w:val="center"/>
              <w:rPr>
                <w:rFonts w:ascii="仿宋_GB2312" w:hAnsi="仿宋" w:eastAsia="仿宋_GB2312" w:cs="Times New Roman"/>
                <w:kern w:val="0"/>
                <w:sz w:val="24"/>
                <w:szCs w:val="24"/>
              </w:rPr>
            </w:pPr>
          </w:p>
        </w:tc>
        <w:tc>
          <w:tcPr>
            <w:tcW w:w="985" w:type="dxa"/>
            <w:vAlign w:val="center"/>
          </w:tcPr>
          <w:p w14:paraId="7C5C1284">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p>
        </w:tc>
        <w:tc>
          <w:tcPr>
            <w:tcW w:w="3574" w:type="dxa"/>
          </w:tcPr>
          <w:p w14:paraId="60536487">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迅速地抓住核心要素、准确地理解和分析问题。</w:t>
            </w:r>
          </w:p>
        </w:tc>
      </w:tr>
      <w:tr w14:paraId="525F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Merge w:val="continue"/>
            <w:vAlign w:val="center"/>
          </w:tcPr>
          <w:p w14:paraId="0062DE5A">
            <w:pPr>
              <w:adjustRightInd w:val="0"/>
              <w:snapToGrid w:val="0"/>
              <w:jc w:val="center"/>
              <w:rPr>
                <w:rFonts w:ascii="仿宋_GB2312" w:hAnsi="仿宋" w:eastAsia="仿宋_GB2312" w:cs="Times New Roman"/>
                <w:kern w:val="0"/>
                <w:sz w:val="24"/>
                <w:szCs w:val="24"/>
              </w:rPr>
            </w:pPr>
          </w:p>
        </w:tc>
        <w:tc>
          <w:tcPr>
            <w:tcW w:w="1127" w:type="dxa"/>
            <w:vMerge w:val="continue"/>
            <w:vAlign w:val="center"/>
          </w:tcPr>
          <w:p w14:paraId="79B50705">
            <w:pPr>
              <w:adjustRightInd w:val="0"/>
              <w:snapToGrid w:val="0"/>
              <w:jc w:val="center"/>
              <w:rPr>
                <w:rFonts w:ascii="仿宋_GB2312" w:hAnsi="仿宋" w:eastAsia="仿宋_GB2312" w:cs="Times New Roman"/>
                <w:kern w:val="0"/>
                <w:sz w:val="24"/>
                <w:szCs w:val="24"/>
              </w:rPr>
            </w:pPr>
          </w:p>
        </w:tc>
        <w:tc>
          <w:tcPr>
            <w:tcW w:w="1551" w:type="dxa"/>
            <w:vMerge w:val="continue"/>
            <w:vAlign w:val="center"/>
          </w:tcPr>
          <w:p w14:paraId="56AA9B16">
            <w:pPr>
              <w:adjustRightInd w:val="0"/>
              <w:snapToGrid w:val="0"/>
              <w:jc w:val="center"/>
              <w:rPr>
                <w:rFonts w:ascii="仿宋_GB2312" w:hAnsi="仿宋" w:eastAsia="仿宋_GB2312" w:cs="Times New Roman"/>
                <w:kern w:val="0"/>
                <w:sz w:val="24"/>
                <w:szCs w:val="24"/>
              </w:rPr>
            </w:pPr>
          </w:p>
        </w:tc>
        <w:tc>
          <w:tcPr>
            <w:tcW w:w="985" w:type="dxa"/>
            <w:vAlign w:val="center"/>
          </w:tcPr>
          <w:p w14:paraId="5B54C956">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w:t>
            </w:r>
          </w:p>
        </w:tc>
        <w:tc>
          <w:tcPr>
            <w:tcW w:w="3574" w:type="dxa"/>
          </w:tcPr>
          <w:p w14:paraId="3157E350">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具有创新性的解决问题的思路和方法</w:t>
            </w:r>
          </w:p>
        </w:tc>
      </w:tr>
      <w:tr w14:paraId="6717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7" w:type="dxa"/>
            <w:vAlign w:val="center"/>
          </w:tcPr>
          <w:p w14:paraId="2DEF7E68">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六</w:t>
            </w:r>
          </w:p>
        </w:tc>
        <w:tc>
          <w:tcPr>
            <w:tcW w:w="1127" w:type="dxa"/>
            <w:vAlign w:val="center"/>
          </w:tcPr>
          <w:p w14:paraId="48C434FE">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教学设计</w:t>
            </w:r>
          </w:p>
        </w:tc>
        <w:tc>
          <w:tcPr>
            <w:tcW w:w="1551" w:type="dxa"/>
            <w:vAlign w:val="center"/>
          </w:tcPr>
          <w:p w14:paraId="455A4C69">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30</w:t>
            </w:r>
          </w:p>
        </w:tc>
        <w:tc>
          <w:tcPr>
            <w:tcW w:w="985" w:type="dxa"/>
            <w:vAlign w:val="center"/>
          </w:tcPr>
          <w:p w14:paraId="15995E39">
            <w:pPr>
              <w:adjustRightInd w:val="0"/>
              <w:snapToGrid w:val="0"/>
              <w:jc w:val="center"/>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10</w:t>
            </w:r>
          </w:p>
        </w:tc>
        <w:tc>
          <w:tcPr>
            <w:tcW w:w="3574" w:type="dxa"/>
          </w:tcPr>
          <w:p w14:paraId="698E1A99">
            <w:pPr>
              <w:adjustRightInd w:val="0"/>
              <w:snapToGrid w:val="0"/>
              <w:rPr>
                <w:rFonts w:ascii="仿宋_GB2312" w:hAnsi="仿宋" w:eastAsia="仿宋_GB2312" w:cs="Times New Roman"/>
                <w:kern w:val="0"/>
                <w:sz w:val="24"/>
                <w:szCs w:val="24"/>
              </w:rPr>
            </w:pPr>
            <w:r>
              <w:rPr>
                <w:rFonts w:hint="eastAsia" w:ascii="仿宋_GB2312" w:hAnsi="仿宋" w:eastAsia="仿宋_GB2312" w:cs="Times New Roman"/>
                <w:kern w:val="0"/>
                <w:sz w:val="24"/>
                <w:szCs w:val="24"/>
              </w:rPr>
              <w:t>能体现所任专业对应行业的产业和技术发展的现状和趋势，了解教学课程在专业人才培养中的地位、作用。</w:t>
            </w:r>
          </w:p>
        </w:tc>
      </w:tr>
    </w:tbl>
    <w:p w14:paraId="20E7FA58"/>
    <w:sectPr>
      <w:pgSz w:w="11906" w:h="16838"/>
      <w:pgMar w:top="1383" w:right="1689" w:bottom="138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A97D33"/>
    <w:rsid w:val="000B1DDD"/>
    <w:rsid w:val="001D6529"/>
    <w:rsid w:val="003C04A0"/>
    <w:rsid w:val="006414CC"/>
    <w:rsid w:val="00651208"/>
    <w:rsid w:val="007B459D"/>
    <w:rsid w:val="007B53E4"/>
    <w:rsid w:val="00A97D33"/>
    <w:rsid w:val="00B02E0D"/>
    <w:rsid w:val="00B25A13"/>
    <w:rsid w:val="00D23D98"/>
    <w:rsid w:val="00F25FBF"/>
    <w:rsid w:val="00FA320F"/>
    <w:rsid w:val="1C3E3D8C"/>
    <w:rsid w:val="7B9E12B4"/>
    <w:rsid w:val="ECCFCA01"/>
    <w:rsid w:val="EFFBF4B8"/>
    <w:rsid w:val="FEEEF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table" w:styleId="6">
    <w:name w:val="Table Grid"/>
    <w:basedOn w:val="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2133</Words>
  <Characters>2170</Characters>
  <Lines>16</Lines>
  <Paragraphs>4</Paragraphs>
  <TotalTime>0</TotalTime>
  <ScaleCrop>false</ScaleCrop>
  <LinksUpToDate>false</LinksUpToDate>
  <CharactersWithSpaces>2203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2019-11-23T11:23:00Z</dcterms:created>
  <dc:creator>user</dc:creator>
  <cp:lastModifiedBy>GG</cp:lastModifiedBy>
  <dcterms:modified xsi:type="dcterms:W3CDTF">2024-11-04T08:30:31Z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B03AC7F3D30D2BA629183B65C9661923</vt:lpwstr>
  </property>
</Properties>
</file>