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2"/>
        <w:jc w:val="center"/>
        <w:rPr>
          <w:rFonts w:hint="eastAsia" w:ascii="宋体" w:hAnsi="宋体" w:cs="仿宋_GB2312"/>
          <w:b/>
          <w:sz w:val="44"/>
          <w:szCs w:val="44"/>
        </w:rPr>
      </w:pPr>
      <w:bookmarkStart w:id="0" w:name="_GoBack"/>
      <w:r>
        <w:rPr>
          <w:rFonts w:hint="eastAsia" w:ascii="宋体" w:hAnsi="宋体" w:cs="仿宋_GB2312"/>
          <w:b/>
          <w:sz w:val="44"/>
          <w:szCs w:val="44"/>
        </w:rPr>
        <w:t>中职校新能源专业、船舶机工、中药材种植、畜牧兽医、机器人工程、环境设计、电子商务、视觉传达、中文写作面试内容及方法</w:t>
      </w:r>
    </w:p>
    <w:bookmarkEnd w:id="0"/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面试分讲课、答辩、专业技术测试三部分，总分100分。</w:t>
      </w:r>
    </w:p>
    <w:p>
      <w:pPr>
        <w:autoSpaceDE w:val="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讲课占30分：侧重了解应聘人员对本专业知识的掌握情况和教学技能的熟练情况，备课时间10分钟、讲课时间不超过10分钟。</w:t>
      </w:r>
    </w:p>
    <w:p>
      <w:pPr>
        <w:autoSpaceDE w:val="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答辩占20分：考官在每个应聘人员讲课完毕后，根据讲课内容及应具备的基本能力，随机抽取2个问题进行答辩，答辩时间不超过5分钟。</w:t>
      </w:r>
    </w:p>
    <w:p>
      <w:pPr>
        <w:autoSpaceDE w:val="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专业技能测试占50分：专业课教材实训项目，侧重了解应聘人员的实训操作能力，测试时间以试题要求时间为准。</w:t>
      </w:r>
    </w:p>
    <w:p>
      <w:pPr>
        <w:autoSpaceDE w:val="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考生最终面试成绩=讲课得分+答辩得分+专业技能测试得分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jQxMDhhZGI3MDkyZjAyYmM1YWVmNDM1ZWIwZDEifQ=="/>
  </w:docVars>
  <w:rsids>
    <w:rsidRoot w:val="11D77715"/>
    <w:rsid w:val="11D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2024-08-26T12:54:00Z</dcterms:created>
  <dc:creator>存在</dc:creator>
  <cp:lastModifiedBy>存在</cp:lastModifiedBy>
  <dcterms:modified xsi:type="dcterms:W3CDTF">2024-08-26T12:54:22Z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77C8D57B9BBD42AD96C98C75FE38351E_11</vt:lpwstr>
  </property>
</Properties>
</file>