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一、招聘需求及人数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　　(一)信息科技储备岗(20人)</w:t>
      </w:r>
    </w:p>
    <w:p>
      <w:pPr>
        <w:pStyle w:val="2"/>
        <w:keepNext w:val="0"/>
        <w:keepLines w:val="0"/>
        <w:widowControl/>
        <w:suppressLineNumbers w:val="0"/>
      </w:pPr>
      <w:r>
        <w:t>　　储备培养数据挖掘分析、技术研发、系统运维、网络安全等方面的人才。在基层柜面岗位学习锻炼一定期限后，根据工作需要择优调整到全行数字化转型相关岗位。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　　(二)客户服务岗(120人)</w:t>
      </w:r>
    </w:p>
    <w:p>
      <w:pPr>
        <w:pStyle w:val="2"/>
        <w:keepNext w:val="0"/>
        <w:keepLines w:val="0"/>
        <w:widowControl/>
        <w:suppressLineNumbers w:val="0"/>
      </w:pPr>
      <w:r>
        <w:t>　　储备培养可为客户提供有针对性的金融服务方案，熟悉操作风险、舆情风险等方面的人才，成为运营管理、柜面及厅堂服务等方面的能手。原则上硕士研究生及以上学历的人员在基层柜面岗位工作不少于1年，大学本科学历的人员在基层柜面岗位工作不少于2年。</w:t>
      </w:r>
    </w:p>
    <w:p>
      <w:pPr>
        <w:pStyle w:val="2"/>
        <w:keepNext w:val="0"/>
        <w:keepLines w:val="0"/>
        <w:widowControl/>
        <w:suppressLineNumbers w:val="0"/>
      </w:pPr>
      <w:r>
        <w:t>　</w:t>
      </w:r>
      <w:r>
        <w:rPr>
          <w:rStyle w:val="5"/>
        </w:rPr>
        <w:t>　二、招聘条件</w:t>
      </w:r>
    </w:p>
    <w:p>
      <w:pPr>
        <w:pStyle w:val="2"/>
        <w:keepNext w:val="0"/>
        <w:keepLines w:val="0"/>
        <w:widowControl/>
        <w:suppressLineNumbers w:val="0"/>
      </w:pPr>
      <w:r>
        <w:t>　　(一)境内外普通高等院校的2023年、2024年大学本科及以上学历的毕业生，境外院校归国留学生应在2023年1月至2024年8月毕业。其中：</w:t>
      </w:r>
    </w:p>
    <w:p>
      <w:pPr>
        <w:pStyle w:val="2"/>
        <w:keepNext w:val="0"/>
        <w:keepLines w:val="0"/>
        <w:widowControl/>
        <w:suppressLineNumbers w:val="0"/>
      </w:pPr>
      <w:r>
        <w:t>　　信息科技储备岗应为计算机类、电子信息类、数学类相关专业硕士研究及以上学历的毕业生;</w:t>
      </w:r>
    </w:p>
    <w:p>
      <w:pPr>
        <w:pStyle w:val="2"/>
        <w:keepNext w:val="0"/>
        <w:keepLines w:val="0"/>
        <w:widowControl/>
        <w:suppressLineNumbers w:val="0"/>
      </w:pPr>
      <w:r>
        <w:t>　　客户服务岗为大学本科及以上学历的毕业生，专业不限，经济学门类、管理学门类、法学类、新闻传播学类、数学类、统计学类、电子信息类、计算机类相关专业优先。长安支行、航天支行、大学城支行、临潼支行、阎良支行、高陵支行、鄠邑支行、周至支行、蓝田支行等9家区县一级机构客户服务岗可放宽至2022年大学本科及以上学历毕业生，境外院校归国留学生毕业时间相应放宽至2022年1月。</w:t>
      </w:r>
    </w:p>
    <w:p>
      <w:pPr>
        <w:pStyle w:val="2"/>
        <w:keepNext w:val="0"/>
        <w:keepLines w:val="0"/>
        <w:widowControl/>
        <w:suppressLineNumbers w:val="0"/>
      </w:pPr>
      <w:r>
        <w:t>　　(二)境内外高等院校毕业生应在报到时取得国家认可的毕业证和学位证(或国家教育部学历认证)，学籍学历信息在中国高等教育学生信息网(学信网)http://www.chsi.com.cn或教育部留学服务中心网上服务大厅http://zwfw.cscse.edu.cn/可查且内容一致。</w:t>
      </w:r>
    </w:p>
    <w:p>
      <w:pPr>
        <w:pStyle w:val="2"/>
        <w:keepNext w:val="0"/>
        <w:keepLines w:val="0"/>
        <w:widowControl/>
        <w:suppressLineNumbers w:val="0"/>
      </w:pPr>
      <w:r>
        <w:t>　　(三)报名长安支行等9家区县一级机构，当地户籍、生源或家庭居住地者优先。</w:t>
      </w:r>
    </w:p>
    <w:p>
      <w:pPr>
        <w:pStyle w:val="2"/>
        <w:keepNext w:val="0"/>
        <w:keepLines w:val="0"/>
        <w:widowControl/>
        <w:suppressLineNumbers w:val="0"/>
      </w:pPr>
      <w:r>
        <w:t>　　(四)遵纪守法、诚实守信，具有良好的个人品行、职业道德、学习能力和沟通能力，无不良记录，认同秦农银行的企业文化。</w:t>
      </w:r>
    </w:p>
    <w:p>
      <w:pPr>
        <w:pStyle w:val="2"/>
        <w:keepNext w:val="0"/>
        <w:keepLines w:val="0"/>
        <w:widowControl/>
        <w:suppressLineNumbers w:val="0"/>
      </w:pPr>
      <w:r>
        <w:t>　　(五)具有正常履行工作职责的身体条件，具备良好健康的心理素质。</w:t>
      </w:r>
    </w:p>
    <w:p>
      <w:pPr>
        <w:pStyle w:val="2"/>
        <w:keepNext w:val="0"/>
        <w:keepLines w:val="0"/>
        <w:widowControl/>
        <w:suppressLineNumbers w:val="0"/>
      </w:pPr>
      <w:r>
        <w:t>　　(六)符合监管部门对银行从业人员的有关要求。</w:t>
      </w:r>
    </w:p>
    <w:p>
      <w:pPr>
        <w:pStyle w:val="2"/>
        <w:keepNext w:val="0"/>
        <w:keepLines w:val="0"/>
        <w:widowControl/>
        <w:suppressLineNumbers w:val="0"/>
      </w:pPr>
      <w:r>
        <w:t>　　(七)有下列情形之一的不得应聘或录用：</w:t>
      </w:r>
    </w:p>
    <w:p>
      <w:pPr>
        <w:pStyle w:val="2"/>
        <w:keepNext w:val="0"/>
        <w:keepLines w:val="0"/>
        <w:widowControl/>
        <w:suppressLineNumbers w:val="0"/>
      </w:pPr>
      <w:r>
        <w:t>　　1.不符合秦农银行履职回避情形或因工作需要回避的;</w:t>
      </w:r>
    </w:p>
    <w:p>
      <w:pPr>
        <w:pStyle w:val="2"/>
        <w:keepNext w:val="0"/>
        <w:keepLines w:val="0"/>
        <w:widowControl/>
        <w:suppressLineNumbers w:val="0"/>
      </w:pPr>
      <w:r>
        <w:t>　　2.本人、配偶或父母被依法列入失信联合惩戒对象名单的;</w:t>
      </w:r>
    </w:p>
    <w:p>
      <w:pPr>
        <w:pStyle w:val="2"/>
        <w:keepNext w:val="0"/>
        <w:keepLines w:val="0"/>
        <w:widowControl/>
        <w:suppressLineNumbers w:val="0"/>
      </w:pPr>
      <w:r>
        <w:t>　　3.本人、配偶或父母在秦农银行有不良贷款或涉及内部员工责任不良贷款的;</w:t>
      </w:r>
    </w:p>
    <w:p>
      <w:pPr>
        <w:pStyle w:val="2"/>
        <w:keepNext w:val="0"/>
        <w:keepLines w:val="0"/>
        <w:widowControl/>
        <w:suppressLineNumbers w:val="0"/>
      </w:pPr>
      <w:r>
        <w:t>　　4.有严重违纪违法行为记录及其他不得应聘或录用的情形。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Y2MwNzhhYTBlYzVmMmViMDgxMGRlOTFjMmMxMTQifQ=="/>
  </w:docVars>
  <w:rsids>
    <w:rsidRoot w:val="258A43B6"/>
    <w:rsid w:val="258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2024-07-09T06:34:00Z</dcterms:created>
  <dc:creator>荣荣</dc:creator>
  <cp:lastModifiedBy>荣荣</cp:lastModifiedBy>
  <dcterms:modified xsi:type="dcterms:W3CDTF">2024-07-09T06:35:21Z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1114208945BB4A71AF1054FE9643790E_11</vt:lpwstr>
  </property>
</Properties>
</file>