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29FDB02">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14:paraId="75FB706E">
      <w:pPr>
        <w:widowControl/>
        <w:autoSpaceDN w:val="0"/>
        <w:snapToGrid w:val="0"/>
        <w:spacing w:line="560" w:lineRule="exact"/>
        <w:jc w:val="center"/>
        <w:rPr>
          <w:rFonts w:hint="eastAsia" w:ascii="黑体" w:hAnsi="黑体" w:eastAsia="黑体" w:cs="黑体"/>
          <w:bCs/>
          <w:color w:val="auto"/>
          <w:sz w:val="44"/>
          <w:szCs w:val="44"/>
          <w:shd w:val="clear" w:color="auto" w:fill="FFFFFF"/>
          <w:lang w:val="en-US" w:eastAsia="zh-CN"/>
        </w:rPr>
      </w:pPr>
    </w:p>
    <w:p w14:paraId="52972C24">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2024年下半年中小学教师资格考试</w:t>
      </w:r>
    </w:p>
    <w:p w14:paraId="1A4858F3">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笔试科目及日程安排</w:t>
      </w:r>
    </w:p>
    <w:p w14:paraId="00D1BC72">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14:paraId="7412E9AF">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14:paraId="16ACFEE9">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14:paraId="13996070">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9</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15</w:t>
            </w:r>
            <w:r>
              <w:rPr>
                <w:rFonts w:hint="eastAsia" w:ascii="仿宋" w:hAnsi="仿宋" w:eastAsia="仿宋" w:cs="仿宋_GB2312"/>
                <w:b/>
                <w:color w:val="auto"/>
                <w:sz w:val="24"/>
                <w:szCs w:val="24"/>
                <w:shd w:val="clear" w:color="auto" w:fill="FFFFFF"/>
              </w:rPr>
              <w:t>日（星期</w:t>
            </w:r>
            <w:r>
              <w:rPr>
                <w:rFonts w:hint="eastAsia" w:ascii="仿宋" w:hAnsi="仿宋" w:eastAsia="仿宋" w:cs="仿宋_GB2312"/>
                <w:b/>
                <w:color w:val="auto"/>
                <w:sz w:val="24"/>
                <w:szCs w:val="24"/>
                <w:shd w:val="clear" w:color="auto" w:fill="FFFFFF"/>
                <w:lang w:val="en-US" w:eastAsia="zh-CN"/>
              </w:rPr>
              <w:t>日</w:t>
            </w:r>
            <w:r>
              <w:rPr>
                <w:rFonts w:hint="eastAsia" w:ascii="仿宋" w:hAnsi="仿宋" w:eastAsia="仿宋" w:cs="仿宋_GB2312"/>
                <w:b/>
                <w:color w:val="auto"/>
                <w:sz w:val="24"/>
                <w:szCs w:val="24"/>
                <w:shd w:val="clear" w:color="auto" w:fill="FFFFFF"/>
              </w:rPr>
              <w:t>）</w:t>
            </w:r>
          </w:p>
        </w:tc>
      </w:tr>
      <w:tr w14:paraId="5D965C9A">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49E4DDAC">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14:paraId="584C7A88">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14:paraId="45FA46EA">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14:paraId="5CB66322">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14:paraId="52B96E29">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3B1771FC">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14:paraId="1F3727B2">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14:paraId="76F6CA6D">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14:paraId="35542ACC">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14:paraId="60482EDD">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0B964A2A">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14:paraId="2EC43D83">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14:paraId="1F206DBA">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14:paraId="6A6DD9FB">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14:paraId="381F758C">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529DA6C0">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14:paraId="290C8B0D">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14:paraId="494C0489">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14:paraId="1246A6AB">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14:paraId="01475CF3">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2389F043">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326BF2F7">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66D5966B">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445D4BC4">
            <w:pPr>
              <w:rPr>
                <w:rFonts w:hint="eastAsia" w:ascii="仿宋" w:hAnsi="仿宋" w:eastAsia="仿宋" w:cs="仿宋_GB2312"/>
                <w:bCs/>
                <w:color w:val="auto"/>
                <w:sz w:val="24"/>
                <w:szCs w:val="24"/>
                <w:shd w:val="clear" w:color="auto" w:fill="FFFFFF"/>
              </w:rPr>
            </w:pPr>
          </w:p>
        </w:tc>
      </w:tr>
      <w:tr w14:paraId="28073AD9">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28F8D217">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248EAF61">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51469A96">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4A1324BA">
            <w:pPr>
              <w:rPr>
                <w:rFonts w:hint="eastAsia" w:ascii="仿宋" w:hAnsi="仿宋" w:eastAsia="仿宋" w:cs="仿宋_GB2312"/>
                <w:bCs/>
                <w:color w:val="auto"/>
                <w:sz w:val="24"/>
                <w:szCs w:val="24"/>
                <w:shd w:val="clear" w:color="auto" w:fill="FFFFFF"/>
              </w:rPr>
            </w:pPr>
          </w:p>
        </w:tc>
      </w:tr>
      <w:tr w14:paraId="3EA33404">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05D9AEFA">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50D5A161">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1280DB15">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14:paraId="22632480">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14:paraId="4F8FC1D0">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14:paraId="0DBED589">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36268A7F">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3EAB7CFB">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14:paraId="4B690C88">
            <w:pPr>
              <w:shd w:val="solid" w:color="FFFFFF" w:fill="auto"/>
              <w:autoSpaceDN w:val="0"/>
              <w:jc w:val="center"/>
              <w:rPr>
                <w:rFonts w:hint="eastAsia" w:ascii="仿宋" w:hAnsi="仿宋" w:eastAsia="仿宋" w:cs="仿宋_GB2312"/>
                <w:bCs/>
                <w:color w:val="auto"/>
                <w:sz w:val="32"/>
                <w:szCs w:val="32"/>
                <w:shd w:val="clear" w:color="auto" w:fill="FFFFFF"/>
              </w:rPr>
            </w:pPr>
          </w:p>
        </w:tc>
      </w:tr>
    </w:tbl>
    <w:p w14:paraId="5D864260">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r>
        <w:rPr>
          <w:rFonts w:hint="eastAsia" w:ascii="仿宋" w:hAnsi="仿宋" w:eastAsia="仿宋" w:cs="仿宋_GB2312"/>
          <w:bCs/>
          <w:color w:val="auto"/>
          <w:sz w:val="32"/>
          <w:szCs w:val="32"/>
          <w:shd w:val="clear" w:color="auto" w:fill="FFFFFF"/>
          <w:lang w:val="en-US" w:eastAsia="zh-CN"/>
        </w:rPr>
        <w:t>提示：1.申请中等职业学校文化课教师资格的人员参加高级中学教师资格考试。报考科目代码及说明见附件2。</w:t>
      </w:r>
    </w:p>
    <w:p w14:paraId="59C17EDC">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14:paraId="39FEEC0E">
      <w:pPr>
        <w:spacing w:line="560" w:lineRule="exact"/>
        <w:rPr>
          <w:rFonts w:hint="default" w:ascii="黑体" w:hAnsi="黑体" w:eastAsia="黑体" w:cs="宋体"/>
          <w:color w:val="auto"/>
          <w:kern w:val="0"/>
          <w:sz w:val="32"/>
          <w:szCs w:val="32"/>
          <w:lang w:val="en-US" w:eastAsia="zh-CN"/>
        </w:rPr>
      </w:pPr>
    </w:p>
    <w:p w14:paraId="243A5357">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561911F0"/>
    <w:rsid w:val="5619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2024-06-26T06:47:00Z</dcterms:created>
  <dc:creator>Pluto＇</dc:creator>
  <cp:lastModifiedBy>Pluto＇</cp:lastModifiedBy>
  <dcterms:modified xsi:type="dcterms:W3CDTF">2024-06-26T06:49:03Z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F1F70880C8E841D888F89E3A94FA03A0_11</vt:lpwstr>
  </property>
</Properties>
</file>