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综合成绩计算方式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及运用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4"/>
          <w:szCs w:val="34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4"/>
          <w:szCs w:val="34"/>
          <w:lang w:val="en-US" w:eastAsia="zh-CN" w:bidi="ar"/>
        </w:rPr>
        <w:t>一、综合成绩计算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综合成绩=笔试成绩×40%+面试成绩×60%+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附加分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成绩总分为100分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设置分数合格线60分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在成绩合格的人员中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，根据岗位招聘人数和报考人数1: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的比例，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高分到低分依序确定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入面试人员名单。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出现笔试成绩相同导致同一招聘岗位进入面试人数超过招聘岗位数1: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的，一并进入面试。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若未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1: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报招聘工作领导小组研究同意，成绩合格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均可进入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面试成绩总分为100分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面试采取结构化的方式进行，成绩四舍五入保留两位小数。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附加分：取得执业医师资格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或持有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助理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全科医生培训结业合格证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综合成绩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可各加3分，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取得主治医师资格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持有住院医师规范化培训合格证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4.报考学科带头人岗位的，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取得硕士研究生及以上学历或主任医师资格者各加5分，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成绩=面试成绩+附加分。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二、综合成绩运用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综合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成绩最低合格分数线为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0分，成绩未达最低合格分数线的，不得参加后续招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录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程序。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达到合格分数线人员中，根据成绩从高到低的顺序，按照招聘人数与进入后续招聘程序人数1:1的比例确定参加后续招聘程序人员。如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相同，按面试成绩从高分到低分确定排名，如出现最终成绩和面试成绩均相同的，组织同分人员加试，加试使用新题目。</w:t>
      </w:r>
    </w:p>
    <w:p>
      <w:pPr>
        <w:wordWrap w:val="0"/>
        <w:spacing w:line="560" w:lineRule="exact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ECBBAE-66AF-4DCD-A99A-609D61984E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2C84AB0-6377-45B7-8A35-1C03AA8F6BE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F424CD9-4A8B-4460-B5CD-5D299CD5F9F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5210CCA-6E1E-4941-B59F-D3D72BD0559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C2FEE57-F5C2-4667-8945-D952CD05E3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ZjRmMTAwM2JjZjA5M2MxYTdiMWM4MDc5NTU2OGEifQ=="/>
  </w:docVars>
  <w:rsids>
    <w:rsidRoot w:val="4CD07B5A"/>
    <w:rsid w:val="4CD0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2024-06-27T10:52:00Z</dcterms:created>
  <dc:creator>  H星(★～</dc:creator>
  <cp:lastModifiedBy>  H星(★～</cp:lastModifiedBy>
  <dcterms:modified xsi:type="dcterms:W3CDTF">2024-06-27T10:53:05Z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7AF0E41025AE46A28FA1965DDE2BA7C4_11</vt:lpwstr>
  </property>
</Properties>
</file>