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eastAsia="黑体"/>
          <w:sz w:val="36"/>
          <w:szCs w:val="36"/>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tbl>
      <w:tblPr>
        <w:tblStyle w:val="5"/>
        <w:tblpPr w:leftFromText="180" w:rightFromText="180" w:vertAnchor="text" w:horzAnchor="page" w:tblpX="1171" w:tblpY="282"/>
        <w:tblOverlap w:val="never"/>
        <w:tblW w:w="0" w:type="auto"/>
        <w:tblInd w:w="0" w:type="dxa"/>
        <w:tblLayout w:type="fixed"/>
        <w:tblCellMar>
          <w:top w:w="0" w:type="dxa"/>
          <w:left w:w="108" w:type="dxa"/>
          <w:bottom w:w="0" w:type="dxa"/>
          <w:right w:w="108" w:type="dxa"/>
        </w:tblCellMar>
      </w:tblPr>
      <w:tblGrid>
        <w:gridCol w:w="1599"/>
        <w:gridCol w:w="1117"/>
        <w:gridCol w:w="816"/>
        <w:gridCol w:w="600"/>
        <w:gridCol w:w="3100"/>
        <w:gridCol w:w="867"/>
        <w:gridCol w:w="967"/>
        <w:gridCol w:w="2516"/>
        <w:gridCol w:w="1134"/>
        <w:gridCol w:w="2100"/>
      </w:tblGrid>
      <w:tr>
        <w:tblPrEx>
          <w:tblCellMar>
            <w:top w:w="0" w:type="dxa"/>
            <w:left w:w="108" w:type="dxa"/>
            <w:bottom w:w="0" w:type="dxa"/>
            <w:right w:w="108" w:type="dxa"/>
          </w:tblCellMar>
        </w:tblPrEx>
        <w:trPr>
          <w:trHeight w:val="1451" w:hRule="atLeast"/>
        </w:trPr>
        <w:tc>
          <w:tcPr>
            <w:tcW w:w="14816" w:type="dxa"/>
            <w:gridSpan w:val="10"/>
            <w:tcBorders>
              <w:top w:val="nil"/>
              <w:left w:val="nil"/>
              <w:bottom w:val="nil"/>
              <w:right w:val="nil"/>
            </w:tcBorders>
            <w:noWrap w:val="0"/>
            <w:vAlign w:val="center"/>
          </w:tcPr>
          <w:p>
            <w:pPr>
              <w:pStyle w:val="2"/>
              <w:ind w:left="0" w:leftChars="0" w:firstLine="0" w:firstLineChars="0"/>
              <w:jc w:val="center"/>
              <w:rPr>
                <w:rFonts w:hint="eastAsia"/>
                <w:sz w:val="44"/>
                <w:szCs w:val="44"/>
              </w:rPr>
            </w:pPr>
            <w:r>
              <w:rPr>
                <w:rFonts w:hint="eastAsia" w:ascii="方正小标宋简体" w:hAnsi="方正小标宋简体" w:eastAsia="方正小标宋简体" w:cs="方正小标宋简体"/>
                <w:sz w:val="44"/>
                <w:szCs w:val="44"/>
                <w:lang w:eastAsia="zh-CN"/>
              </w:rPr>
              <w:t>洪雅县2024年度面向县外公开选调事业单位工作人员职位表</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default"/>
              </w:rPr>
            </w:pPr>
          </w:p>
        </w:tc>
      </w:tr>
      <w:tr>
        <w:tblPrEx>
          <w:tblCellMar>
            <w:top w:w="0" w:type="dxa"/>
            <w:left w:w="108" w:type="dxa"/>
            <w:bottom w:w="0" w:type="dxa"/>
            <w:right w:w="108" w:type="dxa"/>
          </w:tblCellMar>
        </w:tblPrEx>
        <w:trPr>
          <w:trHeight w:val="545" w:hRule="atLeast"/>
        </w:trPr>
        <w:tc>
          <w:tcPr>
            <w:tcW w:w="1599"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hint="eastAsia" w:ascii="方正公文黑体" w:hAnsi="方正公文黑体" w:eastAsia="方正公文黑体" w:cs="方正公文黑体"/>
                <w:color w:val="000000"/>
                <w:kern w:val="0"/>
                <w:szCs w:val="21"/>
                <w:lang w:bidi="ar"/>
              </w:rPr>
              <w:t>公开</w:t>
            </w:r>
            <w:r>
              <w:rPr>
                <w:rFonts w:ascii="方正公文黑体" w:hAnsi="方正公文黑体" w:eastAsia="方正公文黑体" w:cs="方正公文黑体"/>
                <w:color w:val="000000"/>
                <w:kern w:val="0"/>
                <w:szCs w:val="21"/>
                <w:lang w:bidi="ar"/>
              </w:rPr>
              <w:t>选调单位</w:t>
            </w:r>
          </w:p>
        </w:tc>
        <w:tc>
          <w:tcPr>
            <w:tcW w:w="1117"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方正公文黑体" w:hAnsi="方正公文黑体" w:eastAsia="方正公文黑体" w:cs="方正公文黑体"/>
                <w:color w:val="000000"/>
                <w:kern w:val="0"/>
                <w:szCs w:val="21"/>
                <w:lang w:bidi="ar"/>
              </w:rPr>
            </w:pPr>
            <w:r>
              <w:rPr>
                <w:rFonts w:hint="default" w:ascii="方正公文黑体" w:hAnsi="方正公文黑体" w:eastAsia="方正公文黑体" w:cs="方正公文黑体"/>
                <w:color w:val="000000"/>
                <w:kern w:val="0"/>
                <w:szCs w:val="21"/>
                <w:lang w:bidi="ar"/>
              </w:rPr>
              <w:t>主管部门</w:t>
            </w:r>
          </w:p>
        </w:tc>
        <w:tc>
          <w:tcPr>
            <w:tcW w:w="81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选调</w:t>
            </w:r>
            <w:r>
              <w:rPr>
                <w:rFonts w:ascii="方正公文黑体" w:hAnsi="方正公文黑体" w:eastAsia="方正公文黑体" w:cs="方正公文黑体"/>
                <w:color w:val="000000"/>
                <w:kern w:val="0"/>
                <w:szCs w:val="21"/>
                <w:lang w:bidi="ar"/>
              </w:rPr>
              <w:br w:type="textWrapping"/>
            </w:r>
            <w:r>
              <w:rPr>
                <w:rFonts w:ascii="方正公文黑体" w:hAnsi="方正公文黑体" w:eastAsia="方正公文黑体" w:cs="方正公文黑体"/>
                <w:color w:val="000000"/>
                <w:kern w:val="0"/>
                <w:szCs w:val="21"/>
                <w:lang w:bidi="ar"/>
              </w:rPr>
              <w:t>岗位</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选调</w:t>
            </w:r>
            <w:r>
              <w:rPr>
                <w:rFonts w:ascii="方正公文黑体" w:hAnsi="方正公文黑体" w:eastAsia="方正公文黑体" w:cs="方正公文黑体"/>
                <w:color w:val="000000"/>
                <w:kern w:val="0"/>
                <w:szCs w:val="21"/>
                <w:lang w:bidi="ar"/>
              </w:rPr>
              <w:br w:type="textWrapping"/>
            </w:r>
            <w:r>
              <w:rPr>
                <w:rFonts w:ascii="方正公文黑体" w:hAnsi="方正公文黑体" w:eastAsia="方正公文黑体" w:cs="方正公文黑体"/>
                <w:color w:val="000000"/>
                <w:kern w:val="0"/>
                <w:szCs w:val="21"/>
                <w:lang w:bidi="ar"/>
              </w:rPr>
              <w:t>名额</w:t>
            </w:r>
          </w:p>
        </w:tc>
        <w:tc>
          <w:tcPr>
            <w:tcW w:w="3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选调</w:t>
            </w:r>
            <w:r>
              <w:rPr>
                <w:rFonts w:ascii="方正公文黑体" w:hAnsi="方正公文黑体" w:eastAsia="方正公文黑体" w:cs="方正公文黑体"/>
                <w:color w:val="000000"/>
                <w:kern w:val="0"/>
                <w:szCs w:val="21"/>
                <w:lang w:bidi="ar"/>
              </w:rPr>
              <w:br w:type="textWrapping"/>
            </w:r>
            <w:r>
              <w:rPr>
                <w:rFonts w:ascii="方正公文黑体" w:hAnsi="方正公文黑体" w:eastAsia="方正公文黑体" w:cs="方正公文黑体"/>
                <w:color w:val="000000"/>
                <w:kern w:val="0"/>
                <w:szCs w:val="21"/>
                <w:lang w:bidi="ar"/>
              </w:rPr>
              <w:t>对象</w:t>
            </w:r>
          </w:p>
        </w:tc>
        <w:tc>
          <w:tcPr>
            <w:tcW w:w="7584"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报名资格条件</w:t>
            </w:r>
          </w:p>
        </w:tc>
      </w:tr>
      <w:tr>
        <w:tblPrEx>
          <w:tblCellMar>
            <w:top w:w="0" w:type="dxa"/>
            <w:left w:w="108" w:type="dxa"/>
            <w:bottom w:w="0" w:type="dxa"/>
            <w:right w:w="108" w:type="dxa"/>
          </w:tblCellMar>
        </w:tblPrEx>
        <w:trPr>
          <w:trHeight w:val="570" w:hRule="atLeast"/>
        </w:trPr>
        <w:tc>
          <w:tcPr>
            <w:tcW w:w="1599"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方正公文黑体" w:hAnsi="方正公文黑体" w:eastAsia="方正公文黑体" w:cs="方正公文黑体"/>
                <w:color w:val="000000"/>
                <w:szCs w:val="21"/>
              </w:rPr>
            </w:pPr>
          </w:p>
        </w:tc>
        <w:tc>
          <w:tcPr>
            <w:tcW w:w="1117"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方正公文黑体" w:hAnsi="方正公文黑体" w:eastAsia="方正公文黑体" w:cs="方正公文黑体"/>
                <w:color w:val="000000"/>
                <w:szCs w:val="21"/>
              </w:rPr>
            </w:pPr>
          </w:p>
        </w:tc>
        <w:tc>
          <w:tcPr>
            <w:tcW w:w="81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方正公文黑体" w:hAnsi="方正公文黑体" w:eastAsia="方正公文黑体" w:cs="方正公文黑体"/>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方正公文黑体" w:hAnsi="方正公文黑体" w:eastAsia="方正公文黑体" w:cs="方正公文黑体"/>
                <w:color w:val="000000"/>
                <w:szCs w:val="21"/>
              </w:rPr>
            </w:pPr>
          </w:p>
        </w:tc>
        <w:tc>
          <w:tcPr>
            <w:tcW w:w="3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方正公文黑体" w:hAnsi="方正公文黑体" w:eastAsia="方正公文黑体" w:cs="方正公文黑体"/>
                <w:color w:val="000000"/>
                <w:szCs w:val="21"/>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年龄</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学历学位</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专业条件要求</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hint="eastAsia" w:ascii="方正公文黑体" w:hAnsi="方正公文黑体" w:eastAsia="方正公文黑体" w:cs="方正公文黑体"/>
                <w:color w:val="000000"/>
                <w:kern w:val="0"/>
                <w:szCs w:val="21"/>
                <w:lang w:bidi="ar"/>
              </w:rPr>
              <w:t>其他</w:t>
            </w:r>
            <w:r>
              <w:rPr>
                <w:rFonts w:ascii="方正公文黑体" w:hAnsi="方正公文黑体" w:eastAsia="方正公文黑体" w:cs="方正公文黑体"/>
                <w:color w:val="000000"/>
                <w:kern w:val="0"/>
                <w:szCs w:val="21"/>
                <w:lang w:bidi="ar"/>
              </w:rPr>
              <w:t>要求</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方正公文黑体" w:hAnsi="方正公文黑体" w:eastAsia="方正公文黑体" w:cs="方正公文黑体"/>
                <w:color w:val="000000"/>
                <w:szCs w:val="21"/>
              </w:rPr>
            </w:pPr>
            <w:r>
              <w:rPr>
                <w:rFonts w:ascii="方正公文黑体" w:hAnsi="方正公文黑体" w:eastAsia="方正公文黑体" w:cs="方正公文黑体"/>
                <w:color w:val="000000"/>
                <w:kern w:val="0"/>
                <w:szCs w:val="21"/>
                <w:lang w:bidi="ar"/>
              </w:rPr>
              <w:t>备注</w:t>
            </w:r>
          </w:p>
        </w:tc>
      </w:tr>
      <w:tr>
        <w:tblPrEx>
          <w:tblCellMar>
            <w:top w:w="0" w:type="dxa"/>
            <w:left w:w="108" w:type="dxa"/>
            <w:bottom w:w="0" w:type="dxa"/>
            <w:right w:w="108" w:type="dxa"/>
          </w:tblCellMar>
        </w:tblPrEx>
        <w:trPr>
          <w:cantSplit/>
          <w:trHeight w:val="223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kern w:val="0"/>
                <w:sz w:val="21"/>
                <w:szCs w:val="21"/>
                <w:lang w:bidi="ar"/>
              </w:rPr>
            </w:pPr>
            <w:r>
              <w:rPr>
                <w:rFonts w:hint="eastAsia" w:ascii="仿宋_GB2312" w:hAnsi="仿宋_GB2312" w:eastAsia="仿宋_GB2312" w:cs="仿宋_GB2312"/>
                <w:b w:val="0"/>
                <w:bCs w:val="0"/>
                <w:i w:val="0"/>
                <w:iCs/>
                <w:kern w:val="0"/>
                <w:sz w:val="21"/>
                <w:szCs w:val="21"/>
                <w:lang w:bidi="ar"/>
              </w:rPr>
              <w:t>洪雅县机关事务服务中心</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sz w:val="21"/>
                <w:szCs w:val="21"/>
                <w:lang w:bidi="ar"/>
              </w:rPr>
            </w:pPr>
            <w:r>
              <w:rPr>
                <w:rFonts w:hint="eastAsia" w:ascii="仿宋_GB2312" w:hAnsi="仿宋_GB2312" w:eastAsia="仿宋_GB2312" w:cs="仿宋_GB2312"/>
                <w:b w:val="0"/>
                <w:bCs w:val="0"/>
                <w:i w:val="0"/>
                <w:iCs/>
                <w:kern w:val="0"/>
                <w:sz w:val="21"/>
                <w:szCs w:val="21"/>
                <w:lang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eastAsia="zh-CN" w:bidi="ar"/>
              </w:rPr>
            </w:pPr>
            <w:r>
              <w:rPr>
                <w:rFonts w:hint="eastAsia" w:ascii="仿宋_GB2312" w:hAnsi="仿宋_GB2312" w:eastAsia="仿宋_GB2312" w:cs="仿宋_GB2312"/>
                <w:b w:val="0"/>
                <w:bCs w:val="0"/>
                <w:i w:val="0"/>
                <w:iCs/>
                <w:color w:val="000000"/>
                <w:kern w:val="0"/>
                <w:sz w:val="21"/>
                <w:szCs w:val="21"/>
                <w:lang w:eastAsia="zh-CN" w:bidi="ar"/>
              </w:rPr>
              <w:t>洪雅县人民政府</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sz w:val="21"/>
                <w:szCs w:val="21"/>
              </w:rPr>
              <w:t>九级管理岗位</w:t>
            </w:r>
            <w:r>
              <w:rPr>
                <w:rFonts w:hint="eastAsia" w:ascii="仿宋_GB2312" w:hAnsi="仿宋_GB2312" w:eastAsia="仿宋_GB2312" w:cs="仿宋_GB2312"/>
                <w:b w:val="0"/>
                <w:bCs w:val="0"/>
                <w:i w:val="0"/>
                <w:iCs/>
                <w:sz w:val="21"/>
                <w:szCs w:val="21"/>
                <w:lang w:eastAsia="zh-CN"/>
              </w:rPr>
              <w:t>及以下</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洪雅县外在编在岗各级党政群机关公务员、参照公务员法管理人员、事业单位工作人员（工勤人员除外）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sz w:val="21"/>
                <w:szCs w:val="21"/>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sz w:val="21"/>
                <w:szCs w:val="21"/>
              </w:rPr>
            </w:pPr>
            <w:r>
              <w:rPr>
                <w:rFonts w:hint="eastAsia" w:ascii="仿宋_GB2312" w:hAnsi="仿宋_GB2312" w:eastAsia="仿宋_GB2312" w:cs="仿宋_GB2312"/>
                <w:b w:val="0"/>
                <w:bCs w:val="0"/>
                <w:i w:val="0"/>
                <w:iCs/>
                <w:sz w:val="21"/>
                <w:szCs w:val="21"/>
                <w:lang w:eastAsia="zh-CN"/>
              </w:rPr>
              <w:t>本科：</w:t>
            </w:r>
            <w:r>
              <w:rPr>
                <w:rFonts w:hint="eastAsia" w:ascii="仿宋_GB2312" w:hAnsi="仿宋_GB2312" w:eastAsia="仿宋_GB2312" w:cs="仿宋_GB2312"/>
                <w:b w:val="0"/>
                <w:bCs w:val="0"/>
                <w:i w:val="0"/>
                <w:iCs/>
                <w:sz w:val="21"/>
                <w:szCs w:val="21"/>
              </w:rPr>
              <w:t>会计学专业、财务管理专业</w:t>
            </w:r>
            <w:r>
              <w:rPr>
                <w:rFonts w:hint="eastAsia" w:ascii="仿宋_GB2312" w:hAnsi="仿宋_GB2312" w:eastAsia="仿宋_GB2312" w:cs="仿宋_GB2312"/>
                <w:b w:val="0"/>
                <w:bCs w:val="0"/>
                <w:i w:val="0"/>
                <w:iCs/>
                <w:sz w:val="21"/>
                <w:szCs w:val="21"/>
                <w:lang w:eastAsia="zh-CN"/>
              </w:rPr>
              <w:t>、</w:t>
            </w:r>
            <w:r>
              <w:rPr>
                <w:rFonts w:hint="eastAsia" w:ascii="仿宋_GB2312" w:hAnsi="仿宋_GB2312" w:eastAsia="仿宋_GB2312" w:cs="仿宋_GB2312"/>
                <w:b w:val="0"/>
                <w:bCs w:val="0"/>
                <w:i w:val="0"/>
                <w:iCs/>
                <w:sz w:val="21"/>
                <w:szCs w:val="21"/>
              </w:rPr>
              <w:t>汉语言文学专业</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sz w:val="21"/>
                <w:szCs w:val="21"/>
                <w:lang w:eastAsia="zh-CN"/>
              </w:rPr>
            </w:pPr>
            <w:r>
              <w:rPr>
                <w:rFonts w:hint="eastAsia" w:ascii="仿宋_GB2312" w:hAnsi="仿宋_GB2312" w:eastAsia="仿宋_GB2312" w:cs="仿宋_GB2312"/>
                <w:b w:val="0"/>
                <w:bCs w:val="0"/>
                <w:i w:val="0"/>
                <w:iCs/>
                <w:sz w:val="21"/>
                <w:szCs w:val="21"/>
                <w:lang w:eastAsia="zh-CN"/>
              </w:rPr>
              <w:t>研究生：会计学专业</w:t>
            </w:r>
          </w:p>
          <w:p>
            <w:pPr>
              <w:pStyle w:val="2"/>
              <w:ind w:left="0" w:leftChars="0" w:firstLine="0" w:firstLineChars="0"/>
              <w:jc w:val="center"/>
              <w:rPr>
                <w:rFonts w:hint="eastAsia" w:ascii="仿宋_GB2312" w:hAnsi="仿宋_GB2312" w:eastAsia="仿宋_GB2312" w:cs="仿宋_GB2312"/>
                <w:b w:val="0"/>
                <w:bCs w:val="0"/>
                <w:i w:val="0"/>
                <w:iCs/>
                <w:color w:val="000000"/>
                <w:kern w:val="2"/>
                <w:sz w:val="21"/>
                <w:szCs w:val="21"/>
                <w:lang w:eastAsia="zh-CN" w:bidi="ar-SA"/>
              </w:rPr>
            </w:pPr>
          </w:p>
        </w:tc>
        <w:tc>
          <w:tcPr>
            <w:tcW w:w="113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color w:val="000000"/>
                <w:sz w:val="21"/>
                <w:szCs w:val="21"/>
                <w:lang w:eastAsia="zh-CN"/>
              </w:rPr>
              <w:t>具有全日制硕士研究生学历放宽至40周岁，博士研究生学历放宽至45 周岁</w:t>
            </w:r>
          </w:p>
        </w:tc>
      </w:tr>
      <w:tr>
        <w:tblPrEx>
          <w:tblCellMar>
            <w:top w:w="0" w:type="dxa"/>
            <w:left w:w="108" w:type="dxa"/>
            <w:bottom w:w="0" w:type="dxa"/>
            <w:right w:w="108" w:type="dxa"/>
          </w:tblCellMar>
        </w:tblPrEx>
        <w:trPr>
          <w:cantSplit/>
          <w:trHeight w:val="2276"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val="en-US" w:bidi="ar"/>
              </w:rPr>
            </w:pPr>
            <w:r>
              <w:rPr>
                <w:rFonts w:hint="eastAsia" w:ascii="仿宋_GB2312" w:hAnsi="仿宋_GB2312" w:eastAsia="仿宋_GB2312" w:cs="仿宋_GB2312"/>
                <w:b w:val="0"/>
                <w:bCs w:val="0"/>
                <w:i w:val="0"/>
                <w:iCs/>
                <w:color w:val="000000"/>
                <w:kern w:val="0"/>
                <w:sz w:val="21"/>
                <w:szCs w:val="21"/>
                <w:lang w:eastAsia="zh-CN" w:bidi="ar"/>
              </w:rPr>
              <w:t>洪雅县</w:t>
            </w:r>
            <w:r>
              <w:rPr>
                <w:rFonts w:hint="eastAsia" w:ascii="仿宋_GB2312" w:hAnsi="仿宋_GB2312" w:eastAsia="仿宋_GB2312" w:cs="仿宋_GB2312"/>
                <w:b w:val="0"/>
                <w:bCs w:val="0"/>
                <w:i w:val="0"/>
                <w:iCs/>
                <w:color w:val="000000"/>
                <w:kern w:val="0"/>
                <w:sz w:val="21"/>
                <w:szCs w:val="21"/>
                <w:lang w:val="en-US" w:eastAsia="zh-CN" w:bidi="ar"/>
              </w:rPr>
              <w:t>柳江古镇旅游风景区管理委员会</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bidi="ar"/>
              </w:rPr>
            </w:pPr>
            <w:r>
              <w:rPr>
                <w:rFonts w:hint="eastAsia" w:ascii="仿宋_GB2312" w:hAnsi="仿宋_GB2312" w:eastAsia="仿宋_GB2312" w:cs="仿宋_GB2312"/>
                <w:b w:val="0"/>
                <w:bCs w:val="0"/>
                <w:i w:val="0"/>
                <w:iCs/>
                <w:color w:val="000000"/>
                <w:kern w:val="0"/>
                <w:sz w:val="21"/>
                <w:szCs w:val="21"/>
                <w:lang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bidi="ar"/>
              </w:rPr>
            </w:pPr>
            <w:r>
              <w:rPr>
                <w:rFonts w:hint="eastAsia" w:ascii="仿宋_GB2312" w:hAnsi="仿宋_GB2312" w:eastAsia="仿宋_GB2312" w:cs="仿宋_GB2312"/>
                <w:b w:val="0"/>
                <w:bCs w:val="0"/>
                <w:i w:val="0"/>
                <w:iCs/>
                <w:color w:val="000000"/>
                <w:kern w:val="0"/>
                <w:sz w:val="21"/>
                <w:szCs w:val="21"/>
                <w:lang w:eastAsia="zh-CN" w:bidi="ar"/>
              </w:rPr>
              <w:t>洪雅县</w:t>
            </w:r>
            <w:r>
              <w:rPr>
                <w:rFonts w:hint="eastAsia" w:ascii="仿宋_GB2312" w:hAnsi="仿宋_GB2312" w:eastAsia="仿宋_GB2312" w:cs="仿宋_GB2312"/>
                <w:b w:val="0"/>
                <w:bCs w:val="0"/>
                <w:i w:val="0"/>
                <w:iCs/>
                <w:color w:val="000000"/>
                <w:kern w:val="0"/>
                <w:sz w:val="21"/>
                <w:szCs w:val="21"/>
                <w:lang w:val="en-US" w:eastAsia="zh-CN" w:bidi="ar"/>
              </w:rPr>
              <w:t>人民政府</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十一级专业技术</w:t>
            </w:r>
            <w:r>
              <w:rPr>
                <w:rFonts w:hint="eastAsia" w:ascii="仿宋_GB2312" w:hAnsi="仿宋_GB2312" w:eastAsia="仿宋_GB2312" w:cs="仿宋_GB2312"/>
                <w:b w:val="0"/>
                <w:bCs w:val="0"/>
                <w:i w:val="0"/>
                <w:iCs/>
                <w:color w:val="000000"/>
                <w:sz w:val="21"/>
                <w:szCs w:val="21"/>
              </w:rPr>
              <w:t>岗位及以下</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洪雅县外在编在岗各级党政群机关公务员、参照公务员法管理人员、事业单位工作人员（工勤人员除外）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10" w:firstLineChars="100"/>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kern w:val="2"/>
                <w:sz w:val="21"/>
                <w:szCs w:val="21"/>
                <w:lang w:val="en-US" w:eastAsia="zh-CN" w:bidi="ar-SA"/>
              </w:rPr>
              <w:t>本科：审计学专业；财务管理专业；会计学专业</w:t>
            </w:r>
          </w:p>
          <w:p>
            <w:pPr>
              <w:keepNext w:val="0"/>
              <w:keepLines w:val="0"/>
              <w:pageBreakBefore w:val="0"/>
              <w:widowControl/>
              <w:kinsoku/>
              <w:wordWrap/>
              <w:overflowPunct/>
              <w:topLinePunct w:val="0"/>
              <w:autoSpaceDE/>
              <w:autoSpaceDN/>
              <w:bidi w:val="0"/>
              <w:adjustRightInd/>
              <w:snapToGrid/>
              <w:spacing w:line="320" w:lineRule="exact"/>
              <w:ind w:firstLine="210" w:firstLineChars="100"/>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kern w:val="2"/>
                <w:sz w:val="21"/>
                <w:szCs w:val="21"/>
                <w:lang w:val="en-US" w:eastAsia="zh-CN" w:bidi="ar-SA"/>
              </w:rPr>
              <w:t>研究生：会计学专业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rPr>
              <w:t>取得会计系列职称或取得会计专业技术资格</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eastAsia="zh-CN"/>
              </w:rPr>
              <w:t>具有全日制硕士研究生学历放宽至40周岁，博士研究生学历放宽至45 周岁</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bidi="ar"/>
              </w:rPr>
            </w:pPr>
            <w:r>
              <w:rPr>
                <w:rFonts w:hint="eastAsia" w:ascii="仿宋_GB2312" w:hAnsi="仿宋_GB2312" w:eastAsia="仿宋_GB2312" w:cs="仿宋_GB2312"/>
                <w:b w:val="0"/>
                <w:bCs w:val="0"/>
                <w:i w:val="0"/>
                <w:iCs/>
                <w:color w:val="000000"/>
                <w:sz w:val="21"/>
                <w:szCs w:val="21"/>
                <w:lang w:eastAsia="zh-CN"/>
              </w:rPr>
              <w:t>洪雅县经济责任审计服务中心</w:t>
            </w:r>
            <w:r>
              <w:rPr>
                <w:rFonts w:hint="eastAsia" w:ascii="仿宋_GB2312" w:hAnsi="仿宋_GB2312" w:eastAsia="仿宋_GB2312" w:cs="仿宋_GB2312"/>
                <w:b w:val="0"/>
                <w:bCs w:val="0"/>
                <w:i w:val="0"/>
                <w:iCs/>
                <w:color w:val="000000"/>
                <w:sz w:val="21"/>
                <w:szCs w:val="21"/>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eastAsia="zh-CN" w:bidi="ar"/>
              </w:rPr>
            </w:pPr>
            <w:r>
              <w:rPr>
                <w:rFonts w:hint="eastAsia" w:ascii="仿宋_GB2312" w:hAnsi="仿宋_GB2312" w:eastAsia="仿宋_GB2312" w:cs="仿宋_GB2312"/>
                <w:b w:val="0"/>
                <w:bCs w:val="0"/>
                <w:i w:val="0"/>
                <w:iCs/>
                <w:color w:val="000000"/>
                <w:sz w:val="21"/>
                <w:szCs w:val="21"/>
                <w:lang w:eastAsia="zh-CN"/>
              </w:rPr>
              <w:t>洪雅县</w:t>
            </w:r>
            <w:r>
              <w:rPr>
                <w:rFonts w:hint="eastAsia" w:ascii="仿宋_GB2312" w:hAnsi="仿宋_GB2312" w:eastAsia="仿宋_GB2312" w:cs="仿宋_GB2312"/>
                <w:b w:val="0"/>
                <w:bCs w:val="0"/>
                <w:i w:val="0"/>
                <w:iCs/>
                <w:color w:val="000000"/>
                <w:sz w:val="21"/>
                <w:szCs w:val="21"/>
                <w:lang w:val="en-US" w:eastAsia="zh-CN"/>
              </w:rPr>
              <w:t>审计</w:t>
            </w:r>
            <w:r>
              <w:rPr>
                <w:rFonts w:hint="eastAsia" w:ascii="仿宋_GB2312" w:hAnsi="仿宋_GB2312" w:eastAsia="仿宋_GB2312" w:cs="仿宋_GB2312"/>
                <w:b w:val="0"/>
                <w:bCs w:val="0"/>
                <w:i w:val="0"/>
                <w:iCs/>
                <w:color w:val="000000"/>
                <w:sz w:val="21"/>
                <w:szCs w:val="21"/>
              </w:rPr>
              <w:t>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val="en-US" w:eastAsia="zh-CN"/>
              </w:rPr>
              <w:t>九</w:t>
            </w:r>
            <w:r>
              <w:rPr>
                <w:rFonts w:hint="eastAsia" w:ascii="仿宋_GB2312" w:hAnsi="仿宋_GB2312" w:eastAsia="仿宋_GB2312" w:cs="仿宋_GB2312"/>
                <w:b w:val="0"/>
                <w:bCs w:val="0"/>
                <w:i w:val="0"/>
                <w:iCs/>
                <w:color w:val="000000"/>
                <w:sz w:val="21"/>
                <w:szCs w:val="21"/>
              </w:rPr>
              <w:t>级</w:t>
            </w:r>
            <w:r>
              <w:rPr>
                <w:rFonts w:hint="eastAsia" w:ascii="仿宋_GB2312" w:hAnsi="仿宋_GB2312" w:eastAsia="仿宋_GB2312" w:cs="仿宋_GB2312"/>
                <w:b w:val="0"/>
                <w:bCs w:val="0"/>
                <w:i w:val="0"/>
                <w:iCs/>
                <w:color w:val="000000"/>
                <w:sz w:val="21"/>
                <w:szCs w:val="21"/>
                <w:lang w:val="en-US" w:eastAsia="zh-CN"/>
              </w:rPr>
              <w:t>管理</w:t>
            </w:r>
            <w:r>
              <w:rPr>
                <w:rFonts w:hint="eastAsia" w:ascii="仿宋_GB2312" w:hAnsi="仿宋_GB2312" w:eastAsia="仿宋_GB2312" w:cs="仿宋_GB2312"/>
                <w:b w:val="0"/>
                <w:bCs w:val="0"/>
                <w:i w:val="0"/>
                <w:iCs/>
                <w:color w:val="000000"/>
                <w:sz w:val="21"/>
                <w:szCs w:val="21"/>
              </w:rPr>
              <w:t>岗位及以下</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val="en-US" w:eastAsia="zh-CN"/>
              </w:rPr>
              <w:t>洪雅县外在编在岗各级党政群机关公务员、参照公务员法管理人员、事业单位工作人员（工勤人员除外）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val="en-US" w:eastAsia="zh-CN"/>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eastAsia="zh-CN"/>
              </w:rPr>
              <w:t>本科：</w:t>
            </w:r>
            <w:r>
              <w:rPr>
                <w:rFonts w:hint="eastAsia" w:ascii="仿宋_GB2312" w:hAnsi="仿宋_GB2312" w:eastAsia="仿宋_GB2312" w:cs="仿宋_GB2312"/>
                <w:b w:val="0"/>
                <w:bCs w:val="0"/>
                <w:i w:val="0"/>
                <w:iCs/>
                <w:color w:val="000000"/>
                <w:sz w:val="21"/>
                <w:szCs w:val="21"/>
              </w:rPr>
              <w:t>审计学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、会计学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、电子与计算机工程</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、计算机科学与技术</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、土木工程</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、工程造价</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、农业工程</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、农业资源与环境专业</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eastAsia="zh-CN" w:bidi="ar-SA"/>
              </w:rPr>
            </w:pPr>
            <w:r>
              <w:rPr>
                <w:rFonts w:hint="eastAsia" w:ascii="仿宋_GB2312" w:hAnsi="仿宋_GB2312" w:eastAsia="仿宋_GB2312" w:cs="仿宋_GB2312"/>
                <w:b w:val="0"/>
                <w:bCs w:val="0"/>
                <w:i w:val="0"/>
                <w:iCs/>
                <w:color w:val="000000"/>
                <w:sz w:val="21"/>
                <w:szCs w:val="21"/>
                <w:lang w:eastAsia="zh-CN"/>
              </w:rPr>
              <w:t>研究生：会计学专业、</w:t>
            </w:r>
            <w:r>
              <w:rPr>
                <w:rFonts w:hint="eastAsia" w:ascii="仿宋_GB2312" w:hAnsi="仿宋_GB2312" w:eastAsia="仿宋_GB2312" w:cs="仿宋_GB2312"/>
                <w:b w:val="0"/>
                <w:bCs w:val="0"/>
                <w:i w:val="0"/>
                <w:iCs/>
                <w:color w:val="auto"/>
                <w:sz w:val="21"/>
                <w:szCs w:val="21"/>
                <w:lang w:eastAsia="zh-CN"/>
              </w:rPr>
              <w:t>计算机科学与技术类、土木工程类、农业工程类</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eastAsia="zh-CN"/>
              </w:rPr>
              <w:t>具有全日制硕士研究生学历放宽至40周岁，博士研究生学历放宽至45 周岁</w:t>
            </w:r>
          </w:p>
        </w:tc>
      </w:tr>
      <w:tr>
        <w:tblPrEx>
          <w:tblCellMar>
            <w:top w:w="0" w:type="dxa"/>
            <w:left w:w="108" w:type="dxa"/>
            <w:bottom w:w="0" w:type="dxa"/>
            <w:right w:w="108" w:type="dxa"/>
          </w:tblCellMar>
        </w:tblPrEx>
        <w:trPr>
          <w:cantSplit/>
          <w:trHeight w:val="4030"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kern w:val="0"/>
                <w:sz w:val="21"/>
                <w:szCs w:val="21"/>
                <w:lang w:val="en-US" w:eastAsia="zh-CN" w:bidi="ar"/>
              </w:rPr>
            </w:pPr>
            <w:r>
              <w:rPr>
                <w:rFonts w:hint="eastAsia" w:ascii="仿宋_GB2312" w:hAnsi="仿宋_GB2312" w:eastAsia="仿宋_GB2312" w:cs="仿宋_GB2312"/>
                <w:b w:val="0"/>
                <w:bCs w:val="0"/>
                <w:i w:val="0"/>
                <w:iCs/>
                <w:color w:val="000000"/>
                <w:kern w:val="0"/>
                <w:sz w:val="21"/>
                <w:szCs w:val="21"/>
                <w:lang w:eastAsia="zh-CN" w:bidi="ar"/>
              </w:rPr>
              <w:t>洪雅县</w:t>
            </w:r>
            <w:r>
              <w:rPr>
                <w:rFonts w:hint="eastAsia" w:ascii="仿宋_GB2312" w:hAnsi="仿宋_GB2312" w:eastAsia="仿宋_GB2312" w:cs="仿宋_GB2312"/>
                <w:b w:val="0"/>
                <w:bCs w:val="0"/>
                <w:i w:val="0"/>
                <w:iCs/>
                <w:color w:val="000000"/>
                <w:kern w:val="0"/>
                <w:sz w:val="21"/>
                <w:szCs w:val="21"/>
                <w:lang w:val="en-US" w:eastAsia="zh-CN" w:bidi="ar"/>
              </w:rPr>
              <w:t>烈士陵园服务所</w:t>
            </w:r>
          </w:p>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kern w:val="0"/>
                <w:sz w:val="21"/>
                <w:szCs w:val="21"/>
                <w:lang w:bidi="ar"/>
              </w:rPr>
            </w:pPr>
            <w:r>
              <w:rPr>
                <w:rFonts w:hint="eastAsia" w:ascii="仿宋_GB2312" w:hAnsi="仿宋_GB2312" w:eastAsia="仿宋_GB2312" w:cs="仿宋_GB2312"/>
                <w:b w:val="0"/>
                <w:bCs w:val="0"/>
                <w:i w:val="0"/>
                <w:iCs/>
                <w:color w:val="000000"/>
                <w:kern w:val="0"/>
                <w:sz w:val="21"/>
                <w:szCs w:val="21"/>
                <w:lang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kern w:val="0"/>
                <w:sz w:val="21"/>
                <w:szCs w:val="21"/>
                <w:lang w:bidi="ar"/>
              </w:rPr>
            </w:pPr>
            <w:r>
              <w:rPr>
                <w:rFonts w:hint="eastAsia" w:ascii="仿宋_GB2312" w:hAnsi="仿宋_GB2312" w:eastAsia="仿宋_GB2312" w:cs="仿宋_GB2312"/>
                <w:b w:val="0"/>
                <w:bCs w:val="0"/>
                <w:i w:val="0"/>
                <w:iCs/>
                <w:color w:val="000000"/>
                <w:kern w:val="0"/>
                <w:sz w:val="21"/>
                <w:szCs w:val="21"/>
                <w:lang w:eastAsia="zh-CN" w:bidi="ar"/>
              </w:rPr>
              <w:t>洪雅县</w:t>
            </w:r>
            <w:r>
              <w:rPr>
                <w:rFonts w:hint="eastAsia" w:ascii="仿宋_GB2312" w:hAnsi="仿宋_GB2312" w:eastAsia="仿宋_GB2312" w:cs="仿宋_GB2312"/>
                <w:b w:val="0"/>
                <w:bCs w:val="0"/>
                <w:i w:val="0"/>
                <w:iCs/>
                <w:color w:val="000000"/>
                <w:kern w:val="0"/>
                <w:sz w:val="21"/>
                <w:szCs w:val="21"/>
                <w:lang w:val="en-US" w:eastAsia="zh-CN" w:bidi="ar"/>
              </w:rPr>
              <w:t>退役军人事务</w:t>
            </w:r>
            <w:r>
              <w:rPr>
                <w:rFonts w:hint="eastAsia" w:ascii="仿宋_GB2312" w:hAnsi="仿宋_GB2312" w:eastAsia="仿宋_GB2312" w:cs="仿宋_GB2312"/>
                <w:b w:val="0"/>
                <w:bCs w:val="0"/>
                <w:i w:val="0"/>
                <w:iCs/>
                <w:color w:val="000000"/>
                <w:kern w:val="0"/>
                <w:sz w:val="21"/>
                <w:szCs w:val="21"/>
                <w:lang w:bidi="ar"/>
              </w:rPr>
              <w:t>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十一级</w:t>
            </w:r>
            <w:r>
              <w:rPr>
                <w:rFonts w:hint="eastAsia" w:ascii="仿宋_GB2312" w:hAnsi="仿宋_GB2312" w:eastAsia="仿宋_GB2312" w:cs="仿宋_GB2312"/>
                <w:b w:val="0"/>
                <w:bCs w:val="0"/>
                <w:i w:val="0"/>
                <w:iCs/>
                <w:color w:val="000000"/>
                <w:sz w:val="21"/>
                <w:szCs w:val="21"/>
              </w:rPr>
              <w:t>专业技术岗位及以下</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洪雅县外在编在岗各级党政群机关公务员、参照公务员法管理人员、事业单位工作人员（工勤人员除外）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lang w:val="en-US" w:eastAsia="zh-CN"/>
              </w:rPr>
              <w:t>35周岁以下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kern w:val="2"/>
                <w:sz w:val="21"/>
                <w:szCs w:val="21"/>
                <w:lang w:val="en-US" w:eastAsia="zh-CN" w:bidi="ar-SA"/>
              </w:rPr>
              <w:t>不限</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rPr>
              <w:t>取得会计、审计、经济、统计、工程技术、馆员系列职称或取得按规定可聘到相应专业技术职务的职业资格</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20" w:lineRule="exact"/>
              <w:jc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eastAsia="zh-CN"/>
              </w:rPr>
              <w:t>具有全日制硕士研究生学历放宽至40周岁，博士研究生学历放宽至45 周岁</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sz w:val="21"/>
                <w:szCs w:val="21"/>
              </w:rPr>
            </w:pPr>
            <w:r>
              <w:rPr>
                <w:rFonts w:hint="eastAsia" w:ascii="仿宋_GB2312" w:hAnsi="仿宋_GB2312" w:eastAsia="仿宋_GB2312" w:cs="仿宋_GB2312"/>
                <w:b w:val="0"/>
                <w:bCs w:val="0"/>
                <w:i w:val="0"/>
                <w:iCs/>
                <w:color w:val="000000"/>
                <w:sz w:val="21"/>
                <w:szCs w:val="21"/>
              </w:rPr>
              <w:t>洪雅县洪川镇农业综合服务中心</w:t>
            </w:r>
          </w:p>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洪雅县洪川镇人民政府</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洪雅县外在编在岗各级党政群机关公务员、参照公务员法管理人员、事业单位工作人员（工勤人员除外）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color w:val="000000"/>
                <w:sz w:val="21"/>
                <w:szCs w:val="21"/>
              </w:rPr>
              <w:t>本科：农学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、茶学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、农药化肥</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、动植物检疫</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、动物药学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、动物医学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、中兽医学</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、农业水利工程</w:t>
            </w:r>
            <w:r>
              <w:rPr>
                <w:rFonts w:hint="eastAsia" w:ascii="仿宋_GB2312" w:hAnsi="仿宋_GB2312" w:eastAsia="仿宋_GB2312" w:cs="仿宋_GB2312"/>
                <w:b w:val="0"/>
                <w:bCs w:val="0"/>
                <w:i w:val="0"/>
                <w:iCs/>
                <w:color w:val="000000"/>
                <w:sz w:val="21"/>
                <w:szCs w:val="21"/>
                <w:lang w:eastAsia="zh-CN"/>
              </w:rPr>
              <w:t>专业</w:t>
            </w:r>
            <w:r>
              <w:rPr>
                <w:rFonts w:hint="eastAsia" w:ascii="仿宋_GB2312" w:hAnsi="仿宋_GB2312" w:eastAsia="仿宋_GB2312" w:cs="仿宋_GB2312"/>
                <w:b w:val="0"/>
                <w:bCs w:val="0"/>
                <w:i w:val="0"/>
                <w:iCs/>
                <w:color w:val="000000"/>
                <w:sz w:val="21"/>
                <w:szCs w:val="21"/>
              </w:rPr>
              <w:t>、农业经济管理</w:t>
            </w:r>
            <w:r>
              <w:rPr>
                <w:rFonts w:hint="eastAsia" w:ascii="仿宋_GB2312" w:hAnsi="仿宋_GB2312" w:eastAsia="仿宋_GB2312" w:cs="仿宋_GB2312"/>
                <w:b w:val="0"/>
                <w:bCs w:val="0"/>
                <w:i w:val="0"/>
                <w:iCs/>
                <w:color w:val="000000"/>
                <w:sz w:val="21"/>
                <w:szCs w:val="21"/>
                <w:lang w:eastAsia="zh-CN"/>
              </w:rPr>
              <w:t>类</w:t>
            </w:r>
          </w:p>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研究生：农学类、农业工程类</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eastAsia="仿宋_GB2312"/>
                <w:color w:val="000000"/>
                <w:sz w:val="21"/>
                <w:szCs w:val="21"/>
              </w:rPr>
              <w:t>取得农业技术、经济专业、工程技术系</w:t>
            </w:r>
            <w:r>
              <w:rPr>
                <w:rFonts w:hint="eastAsia" w:ascii="仿宋_GB2312" w:hAnsi="仿宋_GB2312" w:eastAsia="仿宋_GB2312" w:cs="仿宋_GB2312"/>
                <w:b w:val="0"/>
                <w:bCs w:val="0"/>
                <w:i w:val="0"/>
                <w:iCs/>
                <w:color w:val="000000"/>
                <w:sz w:val="21"/>
                <w:szCs w:val="21"/>
              </w:rPr>
              <w:t>列职称或取得按规定可聘到相应专业技术职务的职业资格</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eastAsia="zh-CN"/>
              </w:rPr>
              <w:t>具有全日制硕士研究生学历放宽至40周岁，博士研究生学历放宽至45 周岁</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洪雅县实验中学校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地理科学类、地理学类、学科教学（地理）专业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取得初中及以上地理教师资格证、初级及以上职称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洪雅县田锡中学校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全日制本科（学士学位）及以上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英语专业、商务英语专业、翻译专业、英语语言文学专业、英语笔译专业、英语口译专业、学科教学（英语）专业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取得初中及以上英语教师资格证、初级及以上职称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洪雅县中山镇中心小学校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英语专业、商务英语专业、翻译专业、英语语言文学专业、英语笔译专业、英语口译专业、学科教学（英语）专业、应用英语专业、旅游英语专业、英语教育专业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取得小学及以上英语教师资格证、初级及以上职称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洪雅县将军镇三宝中心小学校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体育学类、学科教学（体育）专业、体育教学专业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取得小学及以上体育教师资格证、初级及以上职称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洪雅县中保镇联合中心小学校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数学类、统计学类、应用数学专业、小学教育专业、学科教学（数学）专业、数学教育专业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取得小学及以上数学教师资格证、初级及以上职称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洪雅县中山镇汉王小学校</w:t>
            </w:r>
            <w:r>
              <w:rPr>
                <w:rFonts w:hint="eastAsia" w:ascii="仿宋_GB2312" w:hAnsi="仿宋_GB2312" w:eastAsia="仿宋_GB2312" w:cs="仿宋_GB2312"/>
                <w:b w:val="0"/>
                <w:bCs w:val="0"/>
                <w:i w:val="0"/>
                <w:iCs/>
                <w:color w:val="auto"/>
                <w:kern w:val="0"/>
                <w:sz w:val="21"/>
                <w:szCs w:val="21"/>
                <w:u w:val="none"/>
                <w:lang w:val="en-US" w:eastAsia="zh-CN" w:bidi="ar"/>
              </w:rPr>
              <w:br w:type="textWrapping"/>
            </w:r>
            <w:r>
              <w:rPr>
                <w:rFonts w:hint="eastAsia" w:ascii="仿宋_GB2312" w:hAnsi="仿宋_GB2312" w:eastAsia="仿宋_GB2312" w:cs="仿宋_GB2312"/>
                <w:b w:val="0"/>
                <w:bCs w:val="0"/>
                <w:i w:val="0"/>
                <w:iCs/>
                <w:color w:val="auto"/>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数学类、统计学类、应用数学专业、小学教育专业、学科教学（数学）专业、数学教育专业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取得小学及以上数学教师资格证、初级及以上职称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auto"/>
                <w:kern w:val="2"/>
                <w:sz w:val="21"/>
                <w:szCs w:val="21"/>
                <w:u w:val="none"/>
                <w:lang w:val="en-US" w:eastAsia="zh-CN" w:bidi="ar-SA"/>
              </w:rPr>
            </w:pPr>
            <w:r>
              <w:rPr>
                <w:rFonts w:hint="eastAsia" w:ascii="仿宋_GB2312" w:hAnsi="仿宋_GB2312" w:eastAsia="仿宋_GB2312" w:cs="仿宋_GB2312"/>
                <w:b w:val="0"/>
                <w:bCs w:val="0"/>
                <w:i w:val="0"/>
                <w:iCs/>
                <w:color w:val="auto"/>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洪雅县柳江镇中心小学校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中国语言文学类、小学教育专业、学科教学（语文）专业、汉语专业、语文教育专业、文秘专业、初等教育专业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取得小学及以上语文教师资格证、初级及以上职称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洪雅县东岳镇天宫小学校</w:t>
            </w:r>
            <w:r>
              <w:rPr>
                <w:rFonts w:hint="eastAsia" w:ascii="仿宋_GB2312" w:hAnsi="仿宋_GB2312" w:eastAsia="仿宋_GB2312" w:cs="仿宋_GB2312"/>
                <w:b w:val="0"/>
                <w:bCs w:val="0"/>
                <w:i w:val="0"/>
                <w:iCs/>
                <w:color w:val="000000"/>
                <w:kern w:val="0"/>
                <w:sz w:val="21"/>
                <w:szCs w:val="21"/>
                <w:u w:val="none"/>
                <w:lang w:val="en-US" w:eastAsia="zh-CN" w:bidi="ar"/>
              </w:rPr>
              <w:br w:type="textWrapping"/>
            </w:r>
            <w:r>
              <w:rPr>
                <w:rFonts w:hint="eastAsia" w:ascii="仿宋_GB2312" w:hAnsi="仿宋_GB2312" w:eastAsia="仿宋_GB2312" w:cs="仿宋_GB2312"/>
                <w:b w:val="0"/>
                <w:bCs w:val="0"/>
                <w:i w:val="0"/>
                <w:iCs/>
                <w:color w:val="000000"/>
                <w:kern w:val="0"/>
                <w:sz w:val="21"/>
                <w:szCs w:val="21"/>
                <w:u w:val="none"/>
                <w:lang w:val="en-US" w:eastAsia="zh-CN" w:bidi="ar"/>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全日制专科及以上学历</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中国语言文学类、小学教育专业、学科教学（语文）专业、汉语专业、语文教育专业、文秘专业、初等教育专业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取得小学及以上语文教师资格证、初级及以上职称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0"/>
                <w:sz w:val="21"/>
                <w:szCs w:val="21"/>
                <w:u w:val="none"/>
                <w:lang w:val="en-US" w:eastAsia="zh-CN" w:bidi="ar"/>
              </w:rPr>
            </w:pPr>
            <w:r>
              <w:rPr>
                <w:rFonts w:hint="eastAsia" w:ascii="仿宋_GB2312" w:hAnsi="仿宋_GB2312" w:eastAsia="仿宋_GB2312" w:cs="仿宋_GB2312"/>
                <w:b w:val="0"/>
                <w:bCs w:val="0"/>
                <w:i w:val="0"/>
                <w:iCs/>
                <w:color w:val="000000"/>
                <w:kern w:val="0"/>
                <w:sz w:val="21"/>
                <w:szCs w:val="21"/>
                <w:u w:val="none"/>
                <w:lang w:val="en-US" w:eastAsia="zh-CN" w:bidi="ar"/>
              </w:rPr>
              <w:t>洪雅县城区幼儿园</w:t>
            </w:r>
          </w:p>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（公益二类）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洪雅县教育和体育局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rPr>
              <w:t>十一级及以下专业技术岗位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洪雅县外在编在岗且在教育一线直接从事教育教学任务的事业单位工作人员（工勤人员除外）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40周岁及以下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学前教育专业、学前教育学专业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取得幼儿园教师资格证、初级及以上职称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color w:val="000000"/>
                <w:kern w:val="2"/>
                <w:sz w:val="21"/>
                <w:szCs w:val="21"/>
                <w:u w:val="none"/>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具有相应学科教育教学经历；拉通排名，成绩由高到低选岗</w:t>
            </w:r>
          </w:p>
        </w:tc>
      </w:tr>
      <w:tr>
        <w:tblPrEx>
          <w:tblCellMar>
            <w:top w:w="0" w:type="dxa"/>
            <w:left w:w="108" w:type="dxa"/>
            <w:bottom w:w="0" w:type="dxa"/>
            <w:right w:w="108" w:type="dxa"/>
          </w:tblCellMar>
        </w:tblPrEx>
        <w:trPr>
          <w:cantSplit/>
          <w:trHeight w:val="23"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color w:val="000000"/>
                <w:kern w:val="0"/>
                <w:sz w:val="21"/>
                <w:szCs w:val="21"/>
                <w:lang w:eastAsia="zh-CN" w:bidi="ar"/>
              </w:rPr>
              <w:t>洪</w:t>
            </w:r>
            <w:r>
              <w:rPr>
                <w:rFonts w:hint="eastAsia" w:ascii="仿宋_GB2312" w:hAnsi="仿宋_GB2312" w:eastAsia="仿宋_GB2312" w:cs="仿宋_GB2312"/>
                <w:b w:val="0"/>
                <w:bCs w:val="0"/>
                <w:i w:val="0"/>
                <w:iCs/>
                <w:color w:val="000000"/>
                <w:sz w:val="21"/>
                <w:szCs w:val="21"/>
                <w:lang w:eastAsia="zh-CN"/>
              </w:rPr>
              <w:t>雅县中山镇卫生院</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eastAsia="zh-CN"/>
              </w:rPr>
            </w:pPr>
            <w:r>
              <w:rPr>
                <w:rFonts w:hint="eastAsia" w:ascii="仿宋_GB2312" w:hAnsi="仿宋_GB2312" w:eastAsia="仿宋_GB2312" w:cs="仿宋_GB2312"/>
                <w:b w:val="0"/>
                <w:bCs w:val="0"/>
                <w:i w:val="0"/>
                <w:iCs/>
                <w:color w:val="000000"/>
                <w:sz w:val="21"/>
                <w:szCs w:val="21"/>
                <w:lang w:eastAsia="zh-CN"/>
              </w:rPr>
              <w:t>（公益一类）</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kern w:val="2"/>
                <w:sz w:val="21"/>
                <w:szCs w:val="21"/>
                <w:lang w:val="en-US" w:eastAsia="zh-CN"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val="en-US" w:eastAsia="zh-CN" w:bidi="ar"/>
              </w:rPr>
            </w:pPr>
            <w:r>
              <w:rPr>
                <w:rFonts w:hint="eastAsia" w:ascii="仿宋_GB2312" w:hAnsi="仿宋_GB2312" w:eastAsia="仿宋_GB2312" w:cs="仿宋_GB2312"/>
                <w:b w:val="0"/>
                <w:bCs w:val="0"/>
                <w:i w:val="0"/>
                <w:iCs/>
                <w:color w:val="000000"/>
                <w:kern w:val="0"/>
                <w:sz w:val="21"/>
                <w:szCs w:val="21"/>
                <w:lang w:eastAsia="zh-CN" w:bidi="ar"/>
              </w:rPr>
              <w:t>洪雅县卫生健康局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十</w:t>
            </w:r>
            <w:r>
              <w:rPr>
                <w:rFonts w:hint="eastAsia" w:ascii="仿宋_GB2312" w:hAnsi="仿宋_GB2312" w:eastAsia="仿宋_GB2312" w:cs="仿宋_GB2312"/>
                <w:b w:val="0"/>
                <w:bCs w:val="0"/>
                <w:i w:val="0"/>
                <w:iCs/>
                <w:color w:val="000000"/>
                <w:sz w:val="21"/>
                <w:szCs w:val="21"/>
                <w:lang w:eastAsia="zh-CN"/>
              </w:rPr>
              <w:t>三</w:t>
            </w:r>
            <w:r>
              <w:rPr>
                <w:rFonts w:hint="eastAsia" w:ascii="仿宋_GB2312" w:hAnsi="仿宋_GB2312" w:eastAsia="仿宋_GB2312" w:cs="仿宋_GB2312"/>
                <w:b w:val="0"/>
                <w:bCs w:val="0"/>
                <w:i w:val="0"/>
                <w:iCs/>
                <w:color w:val="000000"/>
                <w:sz w:val="21"/>
                <w:szCs w:val="21"/>
              </w:rPr>
              <w:t>级及以</w:t>
            </w:r>
            <w:r>
              <w:rPr>
                <w:rFonts w:hint="eastAsia" w:ascii="仿宋_GB2312" w:hAnsi="仿宋_GB2312" w:eastAsia="仿宋_GB2312" w:cs="仿宋_GB2312"/>
                <w:b w:val="0"/>
                <w:bCs w:val="0"/>
                <w:i w:val="0"/>
                <w:iCs/>
                <w:color w:val="000000"/>
                <w:sz w:val="21"/>
                <w:szCs w:val="21"/>
                <w:lang w:eastAsia="zh-CN"/>
              </w:rPr>
              <w:t>上</w:t>
            </w:r>
            <w:r>
              <w:rPr>
                <w:rFonts w:hint="eastAsia" w:ascii="仿宋_GB2312" w:hAnsi="仿宋_GB2312" w:eastAsia="仿宋_GB2312" w:cs="仿宋_GB2312"/>
                <w:b w:val="0"/>
                <w:bCs w:val="0"/>
                <w:i w:val="0"/>
                <w:iCs/>
                <w:color w:val="000000"/>
                <w:sz w:val="21"/>
                <w:szCs w:val="21"/>
              </w:rPr>
              <w:t>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val="en-US" w:eastAsia="zh-CN"/>
              </w:rPr>
              <w:t>洪雅县外在编在岗且在医疗卫生单位从事医疗卫生工作的事业单位工作人员（工勤人员除外）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val="en-US" w:eastAsia="zh-CN"/>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kern w:val="2"/>
                <w:sz w:val="21"/>
                <w:szCs w:val="21"/>
                <w:lang w:val="en-US" w:eastAsia="zh-CN" w:bidi="ar-SA"/>
              </w:rPr>
              <w:t>中医学类</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val="en-US" w:eastAsia="zh-CN"/>
              </w:rPr>
              <w:t>取得执业医师资格证</w:t>
            </w:r>
            <w:r>
              <w:rPr>
                <w:rFonts w:hint="eastAsia" w:ascii="仿宋_GB2312" w:hAnsi="仿宋_GB2312" w:eastAsia="仿宋_GB2312" w:cs="仿宋_GB2312"/>
                <w:b w:val="0"/>
                <w:bCs w:val="0"/>
                <w:i w:val="0"/>
                <w:iCs/>
                <w:color w:val="000000"/>
                <w:kern w:val="0"/>
                <w:sz w:val="21"/>
                <w:szCs w:val="21"/>
                <w:u w:val="none"/>
                <w:lang w:val="en-US" w:eastAsia="zh-CN" w:bidi="ar"/>
              </w:rPr>
              <w:t>、初级及以上职称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p>
        </w:tc>
      </w:tr>
      <w:tr>
        <w:tblPrEx>
          <w:tblCellMar>
            <w:top w:w="0" w:type="dxa"/>
            <w:left w:w="108" w:type="dxa"/>
            <w:bottom w:w="0" w:type="dxa"/>
            <w:right w:w="108" w:type="dxa"/>
          </w:tblCellMar>
        </w:tblPrEx>
        <w:trPr>
          <w:cantSplit/>
          <w:trHeight w:val="2570"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lang w:eastAsia="zh-CN"/>
              </w:rPr>
            </w:pPr>
            <w:r>
              <w:rPr>
                <w:rFonts w:hint="eastAsia" w:ascii="仿宋_GB2312" w:hAnsi="仿宋_GB2312" w:eastAsia="仿宋_GB2312" w:cs="仿宋_GB2312"/>
                <w:i w:val="0"/>
                <w:iCs w:val="0"/>
                <w:color w:val="000000"/>
                <w:kern w:val="0"/>
                <w:sz w:val="21"/>
                <w:szCs w:val="21"/>
                <w:lang w:eastAsia="zh-CN" w:bidi="ar"/>
              </w:rPr>
              <w:t>洪</w:t>
            </w:r>
            <w:r>
              <w:rPr>
                <w:rFonts w:hint="eastAsia" w:ascii="仿宋_GB2312" w:hAnsi="仿宋_GB2312" w:eastAsia="仿宋_GB2312" w:cs="仿宋_GB2312"/>
                <w:i w:val="0"/>
                <w:iCs w:val="0"/>
                <w:color w:val="000000"/>
                <w:sz w:val="21"/>
                <w:szCs w:val="21"/>
                <w:lang w:eastAsia="zh-CN"/>
              </w:rPr>
              <w:t>雅县</w:t>
            </w:r>
            <w:r>
              <w:rPr>
                <w:rFonts w:hint="eastAsia" w:ascii="仿宋_GB2312" w:hAnsi="仿宋_GB2312" w:eastAsia="仿宋_GB2312" w:cs="仿宋_GB2312"/>
                <w:i w:val="0"/>
                <w:iCs w:val="0"/>
                <w:color w:val="000000"/>
                <w:sz w:val="21"/>
                <w:szCs w:val="21"/>
                <w:lang w:val="en-US" w:eastAsia="zh-CN"/>
              </w:rPr>
              <w:t>余坪</w:t>
            </w:r>
            <w:r>
              <w:rPr>
                <w:rFonts w:hint="eastAsia" w:ascii="仿宋_GB2312" w:hAnsi="仿宋_GB2312" w:eastAsia="仿宋_GB2312" w:cs="仿宋_GB2312"/>
                <w:i w:val="0"/>
                <w:iCs w:val="0"/>
                <w:color w:val="000000"/>
                <w:sz w:val="21"/>
                <w:szCs w:val="21"/>
                <w:lang w:eastAsia="zh-CN"/>
              </w:rPr>
              <w:t>镇卫生院</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i w:val="0"/>
                <w:iCs/>
                <w:kern w:val="2"/>
                <w:sz w:val="21"/>
                <w:szCs w:val="21"/>
                <w:lang w:val="en-US" w:eastAsia="zh-CN" w:bidi="ar"/>
              </w:rPr>
            </w:pPr>
            <w:r>
              <w:rPr>
                <w:rFonts w:hint="eastAsia" w:ascii="仿宋_GB2312" w:hAnsi="仿宋_GB2312" w:eastAsia="仿宋_GB2312" w:cs="仿宋_GB2312"/>
                <w:i w:val="0"/>
                <w:iCs w:val="0"/>
                <w:color w:val="000000"/>
                <w:sz w:val="21"/>
                <w:szCs w:val="21"/>
                <w:lang w:eastAsia="zh-CN"/>
              </w:rPr>
              <w:t>（公益一类）</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0"/>
                <w:sz w:val="21"/>
                <w:szCs w:val="21"/>
                <w:lang w:val="en-US" w:eastAsia="zh-CN" w:bidi="ar"/>
              </w:rPr>
            </w:pPr>
            <w:r>
              <w:rPr>
                <w:rFonts w:hint="eastAsia" w:ascii="仿宋_GB2312" w:hAnsi="仿宋_GB2312" w:eastAsia="仿宋_GB2312" w:cs="仿宋_GB2312"/>
                <w:b w:val="0"/>
                <w:bCs w:val="0"/>
                <w:i w:val="0"/>
                <w:iCs/>
                <w:color w:val="000000"/>
                <w:kern w:val="0"/>
                <w:sz w:val="21"/>
                <w:szCs w:val="21"/>
                <w:lang w:eastAsia="zh-CN" w:bidi="ar"/>
              </w:rPr>
              <w:t>洪雅县卫生健康局</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rPr>
              <w:t>十</w:t>
            </w:r>
            <w:r>
              <w:rPr>
                <w:rFonts w:hint="eastAsia" w:ascii="仿宋_GB2312" w:hAnsi="仿宋_GB2312" w:eastAsia="仿宋_GB2312" w:cs="仿宋_GB2312"/>
                <w:b w:val="0"/>
                <w:bCs w:val="0"/>
                <w:i w:val="0"/>
                <w:iCs/>
                <w:color w:val="000000"/>
                <w:sz w:val="21"/>
                <w:szCs w:val="21"/>
                <w:lang w:eastAsia="zh-CN"/>
              </w:rPr>
              <w:t>三</w:t>
            </w:r>
            <w:r>
              <w:rPr>
                <w:rFonts w:hint="eastAsia" w:ascii="仿宋_GB2312" w:hAnsi="仿宋_GB2312" w:eastAsia="仿宋_GB2312" w:cs="仿宋_GB2312"/>
                <w:b w:val="0"/>
                <w:bCs w:val="0"/>
                <w:i w:val="0"/>
                <w:iCs/>
                <w:color w:val="000000"/>
                <w:sz w:val="21"/>
                <w:szCs w:val="21"/>
              </w:rPr>
              <w:t>级及以</w:t>
            </w:r>
            <w:r>
              <w:rPr>
                <w:rFonts w:hint="eastAsia" w:ascii="仿宋_GB2312" w:hAnsi="仿宋_GB2312" w:eastAsia="仿宋_GB2312" w:cs="仿宋_GB2312"/>
                <w:b w:val="0"/>
                <w:bCs w:val="0"/>
                <w:i w:val="0"/>
                <w:iCs/>
                <w:color w:val="000000"/>
                <w:sz w:val="21"/>
                <w:szCs w:val="21"/>
                <w:lang w:eastAsia="zh-CN"/>
              </w:rPr>
              <w:t>上</w:t>
            </w:r>
            <w:r>
              <w:rPr>
                <w:rFonts w:hint="eastAsia" w:ascii="仿宋_GB2312" w:hAnsi="仿宋_GB2312" w:eastAsia="仿宋_GB2312" w:cs="仿宋_GB2312"/>
                <w:b w:val="0"/>
                <w:bCs w:val="0"/>
                <w:i w:val="0"/>
                <w:iCs/>
                <w:color w:val="000000"/>
                <w:sz w:val="21"/>
                <w:szCs w:val="21"/>
              </w:rPr>
              <w:t>专业技术岗位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val="en-US" w:eastAsia="zh-CN"/>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sz w:val="21"/>
                <w:szCs w:val="21"/>
                <w:lang w:val="en-US" w:eastAsia="zh-CN"/>
              </w:rPr>
            </w:pPr>
            <w:r>
              <w:rPr>
                <w:rFonts w:hint="eastAsia" w:ascii="仿宋_GB2312" w:hAnsi="仿宋_GB2312" w:eastAsia="仿宋_GB2312" w:cs="仿宋_GB2312"/>
                <w:b w:val="0"/>
                <w:bCs w:val="0"/>
                <w:i w:val="0"/>
                <w:iCs/>
                <w:color w:val="000000"/>
                <w:sz w:val="21"/>
                <w:szCs w:val="21"/>
                <w:lang w:val="en-US" w:eastAsia="zh-CN"/>
              </w:rPr>
              <w:t>洪雅县外在编在岗且在医疗卫生单位从事医疗卫生工作的事业单位工作人员（工勤人员除外）</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sz w:val="21"/>
                <w:szCs w:val="21"/>
                <w:lang w:val="en-US" w:eastAsia="zh-CN"/>
              </w:rPr>
              <w:t>35周岁及以下</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r>
              <w:rPr>
                <w:rFonts w:hint="eastAsia" w:ascii="仿宋_GB2312" w:hAnsi="仿宋_GB2312" w:eastAsia="仿宋_GB2312" w:cs="仿宋_GB2312"/>
                <w:b w:val="0"/>
                <w:bCs w:val="0"/>
                <w:i w:val="0"/>
                <w:iCs/>
                <w:color w:val="000000"/>
                <w:kern w:val="0"/>
                <w:sz w:val="21"/>
                <w:szCs w:val="21"/>
                <w:u w:val="none"/>
                <w:lang w:val="en-US" w:eastAsia="zh-CN" w:bidi="ar"/>
              </w:rPr>
              <w:t>全日制专科及以上</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2"/>
                <w:sz w:val="21"/>
                <w:szCs w:val="21"/>
                <w:lang w:val="en-US" w:eastAsia="zh-CN" w:bidi="ar-SA"/>
              </w:rPr>
            </w:pPr>
            <w:r>
              <w:rPr>
                <w:rFonts w:hint="eastAsia" w:ascii="仿宋_GB2312" w:hAnsi="仿宋_GB2312" w:eastAsia="仿宋_GB2312" w:cs="仿宋_GB2312"/>
                <w:i w:val="0"/>
                <w:iCs w:val="0"/>
                <w:color w:val="000000"/>
                <w:kern w:val="2"/>
                <w:sz w:val="21"/>
                <w:szCs w:val="21"/>
                <w:lang w:val="en-US" w:eastAsia="zh-CN" w:bidi="ar-SA"/>
              </w:rPr>
              <w:t>临床医学专业、麻醉学专业</w:t>
            </w:r>
          </w:p>
        </w:tc>
        <w:tc>
          <w:tcPr>
            <w:tcW w:w="113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lang w:val="en-US" w:eastAsia="zh-CN" w:bidi="ar-SA"/>
              </w:rPr>
            </w:pPr>
            <w:r>
              <w:rPr>
                <w:rFonts w:hint="eastAsia" w:ascii="仿宋_GB2312" w:hAnsi="仿宋_GB2312" w:eastAsia="仿宋_GB2312" w:cs="仿宋_GB2312"/>
                <w:i w:val="0"/>
                <w:iCs w:val="0"/>
                <w:color w:val="000000"/>
                <w:sz w:val="21"/>
                <w:szCs w:val="21"/>
                <w:lang w:val="en-US" w:eastAsia="zh-CN"/>
              </w:rPr>
              <w:t>取得执业医师资格证</w:t>
            </w:r>
            <w:r>
              <w:rPr>
                <w:rFonts w:hint="eastAsia" w:ascii="仿宋_GB2312" w:hAnsi="仿宋_GB2312" w:eastAsia="仿宋_GB2312" w:cs="仿宋_GB2312"/>
                <w:b w:val="0"/>
                <w:bCs w:val="0"/>
                <w:i w:val="0"/>
                <w:iCs/>
                <w:color w:val="000000"/>
                <w:kern w:val="0"/>
                <w:sz w:val="21"/>
                <w:szCs w:val="21"/>
                <w:u w:val="none"/>
                <w:lang w:val="en-US" w:eastAsia="zh-CN" w:bidi="ar"/>
              </w:rPr>
              <w:t>、初级及以上职称</w:t>
            </w:r>
          </w:p>
        </w:tc>
        <w:tc>
          <w:tcPr>
            <w:tcW w:w="21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color w:val="000000"/>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val="0"/>
        <w:spacing w:line="320" w:lineRule="exact"/>
        <w:rPr>
          <w:rFonts w:hint="default" w:ascii="Times New Roman" w:hAnsi="Times New Roman" w:eastAsia="国标黑体" w:cs="Times New Roman"/>
          <w:color w:val="000000"/>
          <w:sz w:val="32"/>
          <w:szCs w:val="32"/>
          <w:lang w:eastAsia="zh-CN"/>
        </w:rPr>
      </w:pPr>
    </w:p>
    <w:p/>
    <w:sectPr>
      <w:headerReference r:id="rId3" w:type="default"/>
      <w:footerReference r:id="rId4" w:type="default"/>
      <w:footerReference r:id="rId5" w:type="even"/>
      <w:pgSz w:w="16838" w:h="11906" w:orient="landscape"/>
      <w:pgMar w:top="1587" w:right="1701" w:bottom="1134" w:left="1701" w:header="851" w:footer="935" w:gutter="0"/>
      <w:pgNumType w:fmt="decimal"/>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公文黑体">
    <w:altName w:val="黑体"/>
    <w:panose1 w:val="02000500000000000000"/>
    <w:charset w:val="86"/>
    <w:family w:val="auto"/>
    <w:pitch w:val="default"/>
    <w:sig w:usb0="00000000" w:usb1="00000000" w:usb2="00000000" w:usb3="00000000" w:csb0="00040001" w:csb1="00000000"/>
  </w:font>
  <w:font w:name="国标黑体">
    <w:altName w:val="黑体"/>
    <w:panose1 w:val="020005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p>
  <w:p>
    <w:pPr>
      <w:pStyle w:val="3"/>
      <w:wordWrap/>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7731760</wp:posOffset>
              </wp:positionH>
              <wp:positionV relativeFrom="paragraph">
                <wp:posOffset>131445</wp:posOffset>
              </wp:positionV>
              <wp:extent cx="790575" cy="3105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0575" cy="310515"/>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608.8pt;margin-top:10.35pt;height:24.45pt;width:62.25pt;mso-position-horizontal-relative:margin;z-index:251659264;mso-width-relative:page;mso-height-relative:page;" filled="f" stroked="f" coordsize="21600,21600" o:gfxdata="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tk+g2QAAAAsBAAAPAAAAAAAAAAEAIAAAACIAAABkcnMvZG93bnJldi54bWxQSwEC&#10;FAAUAAAACACHTuJAhz/nh7oBAABxAwAADgAAAAAAAAABACAAAAAoAQAAZHJzL2Uyb0RvYy54bWxQ&#10;SwUGAAAAAAYABgBZAQAAVAUAAAAA&#10;">
              <v:path/>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19685</wp:posOffset>
              </wp:positionV>
              <wp:extent cx="628015" cy="2432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8015" cy="243205"/>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1.5pt;margin-top:1.55pt;height:19.15pt;width:49.45pt;mso-position-horizontal-relative:margin;z-index:251660288;mso-width-relative:page;mso-height-relative:page;" filled="f" stroked="f" coordsize="21600,21600" o:gfxdata="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TlMa61gAAAAYBAAAPAAAAAAAAAAEAIAAAACIAAABkcnMvZG93bnJldi54bWxQSwECFAAU&#10;AAAACACHTuJAQYnIPLoBAABxAwAADgAAAAAAAAABACAAAAAlAQAAZHJzL2Uyb0RvYy54bWxQSwUG&#10;AAAAAAYABgBZAQAAUQUAAAAA&#10;">
              <v:path/>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EA70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qFormat/>
    <w:uiPriority w:val="0"/>
    <w:pPr>
      <w:widowControl w:val="0"/>
      <w:ind w:left="200" w:firstLine="420" w:firstLineChars="200"/>
      <w:jc w:val="both"/>
      <w:textAlignment w:val="baseline"/>
    </w:pPr>
    <w:rPr>
      <w:rFonts w:ascii="仿宋_GB2312" w:hAnsi="Times New Roman" w:eastAsia="仿宋_GB2312" w:cs="Times New Roman"/>
      <w:kern w:val="2"/>
      <w:sz w:val="28"/>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2024-06-27T03:37:38Z</dcterms:created>
  <dc:creator>Administrator</dc:creator>
  <cp:lastModifiedBy>Administrator</cp:lastModifiedBy>
  <dcterms:modified xsi:type="dcterms:W3CDTF">2024-06-27T03:37:56Z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FAB5DC0113AE465B90F68030B074B020_12</vt:lpwstr>
  </property>
</Properties>
</file>