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pPr>
        <w:spacing w:line="560" w:lineRule="exact"/>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渝北区仙桃社区卫生服务中心</w:t>
      </w:r>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pPr>
              <w:spacing w:line="400" w:lineRule="exact"/>
              <w:jc w:val="center"/>
              <w:rPr>
                <w:rFonts w:hint="eastAsia" w:ascii="方正仿宋_GBK" w:hAnsi="方正仿宋_GBK" w:eastAsia="方正仿宋_GBK" w:cs="方正仿宋_GBK"/>
                <w:sz w:val="24"/>
              </w:rPr>
            </w:pP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sz w:val="24"/>
              </w:rPr>
            </w:pPr>
          </w:p>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pPr>
        <w:spacing w:line="560" w:lineRule="exact"/>
        <w:ind w:firstLine="480" w:firstLineChars="200"/>
        <w:rPr>
          <w:rFonts w:hint="eastAsia" w:eastAsia="方正仿宋_GBK"/>
          <w:lang w:eastAsia="zh-CN"/>
        </w:rPr>
      </w:pPr>
      <w:r>
        <w:rPr>
          <w:rFonts w:hint="eastAsia" w:ascii="方正仿宋_GBK" w:hAnsi="方正仿宋_GBK" w:eastAsia="方正仿宋_GBK" w:cs="方正仿宋_GBK"/>
          <w:sz w:val="24"/>
        </w:rPr>
        <w:t>2.学历必须注明“普通高校全日制”或“国民教育</w:t>
      </w:r>
      <w:r>
        <w:rPr>
          <w:rFonts w:hint="eastAsia" w:ascii="方正仿宋_GBK" w:hAnsi="方正仿宋_GBK" w:eastAsia="方正仿宋_GBK" w:cs="方正仿宋_GBK"/>
          <w:sz w:val="24"/>
          <w:lang w:eastAsia="zh-CN"/>
        </w:rPr>
        <w:t>”。</w:t>
      </w:r>
    </w:p>
    <w:p/>
    <w:sectPr>
      <w:pgSz w:w="11906" w:h="16838"/>
      <w:pgMar w:top="1134"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NzhmYmU1ZWQxZjRkM2I4MGZhZjMyZGE0YTA4ZWEifQ=="/>
  </w:docVars>
  <w:rsids>
    <w:rsidRoot w:val="04DA71FA"/>
    <w:rsid w:val="04DA7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2024-06-05T02:00:00Z</dcterms:created>
  <dc:creator>JoeyChang</dc:creator>
  <cp:lastModifiedBy>JoeyChang</cp:lastModifiedBy>
  <dcterms:modified xsi:type="dcterms:W3CDTF">2024-06-05T02:00:46Z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9C712228195C423EB45092A1C69A8388_11</vt:lpwstr>
  </property>
</Properties>
</file>