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spacing w:line="520" w:lineRule="exact"/>
        <w:ind w:firstLine="0" w:firstLineChars="0"/>
        <w:outlineLvl w:val="0"/>
        <w:rPr>
          <w:rFonts w:hint="default" w:ascii="仿宋_GB2312" w:hAnsi="仿宋_GB2312" w:eastAsia="仿宋_GB2312" w:cs="仿宋_GB2312"/>
          <w:snapToGrid w:val="0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highlight w:val="none"/>
        </w:rPr>
        <w:t>附件3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highlight w:val="none"/>
          <w:lang w:val="en-US" w:eastAsia="zh-CN"/>
        </w:rPr>
        <w:t>-1</w:t>
      </w:r>
    </w:p>
    <w:p>
      <w:pPr>
        <w:shd w:val="clear"/>
        <w:spacing w:line="52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电工专业招聘考试大纲</w:t>
      </w:r>
    </w:p>
    <w:p>
      <w:pPr>
        <w:shd w:val="clear"/>
        <w:spacing w:line="52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shd w:val="clear"/>
        <w:spacing w:line="520" w:lineRule="exact"/>
        <w:jc w:val="left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黑体" w:hAnsi="黑体" w:eastAsia="黑体"/>
          <w:sz w:val="28"/>
          <w:szCs w:val="28"/>
          <w:highlight w:val="none"/>
        </w:rPr>
        <w:t>一、公共与行业知识（2</w:t>
      </w:r>
      <w:r>
        <w:rPr>
          <w:rFonts w:hint="eastAsia" w:ascii="黑体" w:hAnsi="黑体" w:eastAsia="黑体"/>
          <w:sz w:val="28"/>
          <w:szCs w:val="28"/>
          <w:highlight w:val="none"/>
        </w:rPr>
        <w:t>0</w:t>
      </w:r>
      <w:r>
        <w:rPr>
          <w:rFonts w:ascii="黑体" w:hAnsi="黑体" w:eastAsia="黑体"/>
          <w:sz w:val="28"/>
          <w:szCs w:val="28"/>
          <w:highlight w:val="none"/>
        </w:rPr>
        <w:t>%）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589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bookmarkStart w:id="0" w:name="_Toc493087560"/>
            <w:bookmarkStart w:id="1" w:name="_Toc493086255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一般能力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言语理解：运用语言文字进行分析理解与交流沟通的能力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信息洞察：快速理解或理清局部问题影响因素的能力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企业文化、电力 与能源战略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参见《国家电网公司企业文化、电力与能源战略》题库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形势与政策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中国共产党和中国政府现阶段的重大方针策，202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年1月至今的国际、国内重大时事</w:t>
            </w:r>
          </w:p>
        </w:tc>
      </w:tr>
    </w:tbl>
    <w:p>
      <w:pPr>
        <w:shd w:val="clear"/>
        <w:spacing w:line="520" w:lineRule="exact"/>
        <w:jc w:val="left"/>
        <w:rPr>
          <w:rFonts w:ascii="黑体" w:hAnsi="黑体" w:eastAsia="黑体"/>
          <w:sz w:val="28"/>
          <w:szCs w:val="28"/>
          <w:highlight w:val="none"/>
        </w:rPr>
      </w:pPr>
    </w:p>
    <w:p>
      <w:pPr>
        <w:shd w:val="clear"/>
        <w:spacing w:line="520" w:lineRule="exact"/>
        <w:jc w:val="left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黑体" w:hAnsi="黑体" w:eastAsia="黑体"/>
          <w:sz w:val="28"/>
          <w:szCs w:val="28"/>
          <w:highlight w:val="none"/>
        </w:rPr>
        <w:t>二、专业知识（</w:t>
      </w:r>
      <w:r>
        <w:rPr>
          <w:rFonts w:hint="eastAsia" w:ascii="黑体" w:hAnsi="黑体" w:eastAsia="黑体"/>
          <w:sz w:val="28"/>
          <w:szCs w:val="28"/>
          <w:highlight w:val="none"/>
        </w:rPr>
        <w:t>80</w:t>
      </w:r>
      <w:r>
        <w:rPr>
          <w:rFonts w:ascii="黑体" w:hAnsi="黑体" w:eastAsia="黑体"/>
          <w:sz w:val="28"/>
          <w:szCs w:val="28"/>
          <w:highlight w:val="none"/>
        </w:rPr>
        <w:t>%）</w:t>
      </w:r>
      <w:bookmarkEnd w:id="0"/>
      <w:bookmarkEnd w:id="1"/>
    </w:p>
    <w:tbl>
      <w:tblPr>
        <w:tblStyle w:val="3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主要课程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变压器的结构、原理及特性试验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电力系统分析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电力系统继电保护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输电线路自动重合闸的作用和要求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电气设备及主系统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发电厂和变电站的基本类型和特点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人身触电及其防护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在电气设备上工作保证安全的组织措施和技术措施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断路器控制回路的组成和分析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高电压技术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电介质的电气特性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输变电设备外绝缘及其放电特性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绝缘电阻、泄漏电流和介质损失角正切值测量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雷电过电压与防雷设施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发电厂、变电站和输电线路的防雷保护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电力系统内部过电压及其限制措施</w:t>
            </w:r>
          </w:p>
        </w:tc>
      </w:tr>
    </w:tbl>
    <w:p>
      <w:pPr>
        <w:widowControl/>
        <w:shd w:val="clear"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  <w:highlight w:val="none"/>
        </w:rPr>
      </w:pPr>
    </w:p>
    <w:p>
      <w:pPr>
        <w:shd w:val="clear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br w:type="page"/>
      </w:r>
    </w:p>
    <w:p>
      <w:pPr>
        <w:shd w:val="clear"/>
        <w:spacing w:line="520" w:lineRule="exact"/>
        <w:jc w:val="left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附件3-2</w:t>
      </w:r>
    </w:p>
    <w:p>
      <w:pPr>
        <w:shd w:val="clear"/>
        <w:spacing w:line="52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电子信息类专业招聘考试大纲</w:t>
      </w:r>
    </w:p>
    <w:p>
      <w:pPr>
        <w:shd w:val="clear"/>
        <w:spacing w:line="52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shd w:val="clear"/>
        <w:spacing w:line="520" w:lineRule="exact"/>
        <w:jc w:val="left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黑体" w:hAnsi="黑体" w:eastAsia="黑体"/>
          <w:sz w:val="28"/>
          <w:szCs w:val="28"/>
          <w:highlight w:val="none"/>
        </w:rPr>
        <w:t>一、公共与行业知识（2</w:t>
      </w:r>
      <w:r>
        <w:rPr>
          <w:rFonts w:hint="eastAsia" w:ascii="黑体" w:hAnsi="黑体" w:eastAsia="黑体"/>
          <w:sz w:val="28"/>
          <w:szCs w:val="28"/>
          <w:highlight w:val="none"/>
        </w:rPr>
        <w:t>0</w:t>
      </w:r>
      <w:r>
        <w:rPr>
          <w:rFonts w:ascii="黑体" w:hAnsi="黑体" w:eastAsia="黑体"/>
          <w:sz w:val="28"/>
          <w:szCs w:val="28"/>
          <w:highlight w:val="none"/>
        </w:rPr>
        <w:t>%）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589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一般能力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言语理解：运用语言文字进行分析理解与交流沟通的能力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信息洞察：快速理解或理清局部问题影响因素的能力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企业文化、电力 与能源战略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参见《国家电网公司企业文化、电力与能源战略》题库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821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形势与政策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中国共产党和中国政府现阶段的重大方针策，202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年1月至今的国际、国内重大时事</w:t>
            </w:r>
          </w:p>
        </w:tc>
      </w:tr>
    </w:tbl>
    <w:p>
      <w:pPr>
        <w:shd w:val="clear"/>
        <w:spacing w:line="520" w:lineRule="exact"/>
        <w:jc w:val="left"/>
        <w:rPr>
          <w:rFonts w:hint="eastAsia" w:ascii="黑体" w:hAnsi="黑体" w:eastAsia="黑体"/>
          <w:sz w:val="28"/>
          <w:szCs w:val="28"/>
          <w:highlight w:val="none"/>
        </w:rPr>
      </w:pPr>
    </w:p>
    <w:p>
      <w:pPr>
        <w:shd w:val="clear"/>
        <w:spacing w:line="520" w:lineRule="exact"/>
        <w:jc w:val="left"/>
        <w:rPr>
          <w:rFonts w:hint="eastAsia" w:ascii="黑体" w:hAnsi="黑体" w:eastAsia="黑体"/>
          <w:sz w:val="28"/>
          <w:szCs w:val="28"/>
          <w:highlight w:val="none"/>
        </w:rPr>
      </w:pPr>
    </w:p>
    <w:p>
      <w:pPr>
        <w:numPr>
          <w:ilvl w:val="0"/>
          <w:numId w:val="1"/>
        </w:numPr>
        <w:shd w:val="clear"/>
        <w:spacing w:line="520" w:lineRule="exact"/>
        <w:jc w:val="left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专业</w:t>
      </w:r>
      <w:r>
        <w:rPr>
          <w:rFonts w:ascii="黑体" w:hAnsi="黑体" w:eastAsia="黑体"/>
          <w:sz w:val="28"/>
          <w:szCs w:val="28"/>
          <w:highlight w:val="none"/>
        </w:rPr>
        <w:t>知识（</w:t>
      </w:r>
      <w:r>
        <w:rPr>
          <w:rFonts w:hint="eastAsia" w:ascii="黑体" w:hAnsi="黑体" w:eastAsia="黑体"/>
          <w:sz w:val="28"/>
          <w:szCs w:val="28"/>
          <w:highlight w:val="none"/>
        </w:rPr>
        <w:t>80</w:t>
      </w:r>
      <w:r>
        <w:rPr>
          <w:rFonts w:ascii="黑体" w:hAnsi="黑体" w:eastAsia="黑体"/>
          <w:sz w:val="28"/>
          <w:szCs w:val="28"/>
          <w:highlight w:val="none"/>
        </w:rPr>
        <w:t>%）</w:t>
      </w:r>
    </w:p>
    <w:p>
      <w:pPr>
        <w:shd w:val="clear"/>
        <w:spacing w:line="520" w:lineRule="exact"/>
        <w:rPr>
          <w:rFonts w:ascii="楷体" w:hAnsi="楷体" w:eastAsia="楷体" w:cs="楷体"/>
          <w:b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  <w:highlight w:val="none"/>
        </w:rPr>
        <w:t>（55%）</w:t>
      </w:r>
    </w:p>
    <w:p>
      <w:pPr>
        <w:pStyle w:val="2"/>
        <w:numPr>
          <w:ilvl w:val="0"/>
          <w:numId w:val="0"/>
        </w:numPr>
        <w:shd w:val="clear"/>
        <w:rPr>
          <w:highlight w:val="none"/>
        </w:rPr>
      </w:pPr>
    </w:p>
    <w:tbl>
      <w:tblPr>
        <w:tblStyle w:val="3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noWrap w:val="0"/>
            <w:vAlign w:val="bottom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专业方向</w:t>
            </w:r>
          </w:p>
        </w:tc>
        <w:tc>
          <w:tcPr>
            <w:tcW w:w="850" w:type="dxa"/>
            <w:noWrap w:val="0"/>
            <w:vAlign w:val="bottom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79" w:type="dxa"/>
            <w:noWrap w:val="0"/>
            <w:vAlign w:val="bottom"/>
          </w:tcPr>
          <w:p>
            <w:pPr>
              <w:widowControl/>
              <w:shd w:val="clear"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数据结构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与算法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数据结构基本概念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数组、数组的压缩存储与字符串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数据库系统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eastAsia="zh-CN"/>
              </w:rPr>
              <w:t>库基本概念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关系数据库基本理论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数据库对象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备份和恢复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数据库应用系统设计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计算机网络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计算机网络体系结构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无线网络与移动网络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操作系统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操作系统基础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进程与线程管理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内存管理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输入输出管理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操作系统安全与保护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计算机组成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与体系结构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计算机系统基础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数据的机器级表示和运算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多级层次的存储系统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总线与输入输出系统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并行分布式处理系统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软件设计与开发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软件工程基本概念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软件开发过程管理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需求分析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软件测试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系统维护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信息新技术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云计算基础（云计算基本概念，虚拟化、容器化、分 布式计算、分布式存储等）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物联网基础（物联网基本概念，传感技术、传感网络、 常见协议及标准等）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大数据基础（大数据基本概念，数据预处理、数据分 析、数据模型、数据挖掘、可视化等）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人工智能基础（人工智能基本概念，机器学习、神经 网络、深度学习、NLP 大模型等）</w:t>
            </w:r>
          </w:p>
        </w:tc>
      </w:tr>
    </w:tbl>
    <w:p>
      <w:pPr>
        <w:shd w:val="clear"/>
        <w:spacing w:line="520" w:lineRule="exact"/>
        <w:rPr>
          <w:b/>
          <w:sz w:val="28"/>
          <w:szCs w:val="28"/>
          <w:highlight w:val="none"/>
        </w:rPr>
      </w:pPr>
    </w:p>
    <w:p>
      <w:pPr>
        <w:shd w:val="clear"/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  <w:highlight w:val="none"/>
        </w:rPr>
      </w:pPr>
    </w:p>
    <w:p>
      <w:pPr>
        <w:shd w:val="clear"/>
        <w:spacing w:line="520" w:lineRule="exact"/>
        <w:rPr>
          <w:rFonts w:ascii="楷体" w:hAnsi="楷体" w:eastAsia="楷体" w:cs="楷体"/>
          <w:b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</w:rPr>
        <w:t>（二）通信专业知识（25%）</w:t>
      </w:r>
    </w:p>
    <w:tbl>
      <w:tblPr>
        <w:tblStyle w:val="3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主要课程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通信原理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、信号与系统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信号与系统的基本概念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信号与系统的时域与频域特性分析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通信与通信系统的基本概念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信道特性及复用、均衡、分集技术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数字调制和模拟调制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无线信道及调制解调技术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数字信号的最佳接收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模拟信号的数字化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差错控制编码技术(概念、类型)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光纤通信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光纤通信技术基础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光纤传输技术基础（SDH、OTN、PTN、WDM）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常见光缆光纤结构、特性及敷设方法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光纤通信系统常用器件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光纤接入及其他常用接入技术（无线接入、宽带接入）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光通道性能测量与监控仪器仪表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数据通信网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计算机网络体系架构及交换技术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常用数据通信网络协议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数据通信网络设备/接口（包括无线局域网设备）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网络路由与地址管理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数据网新技术基础（MPLS，IPv6，SDN）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数据网组网通用配置分析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移动通信及</w:t>
            </w:r>
          </w:p>
          <w:p>
            <w:pPr>
              <w:shd w:val="clear"/>
              <w:spacing w:line="520" w:lineRule="exact"/>
              <w:ind w:left="10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其他业务系统</w:t>
            </w:r>
          </w:p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移动通信系统基础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5G 移动通信关键技术基础（组网技术、抗衰落技术等）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微波等其他无线通信系统基础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卫星通信系统基础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卫星通信系统架构、功能定位和应用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基于 H.320、H.323、SIP 协议会议电视系统组成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视频编解码技术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hd w:val="clear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shd w:val="clear"/>
              <w:spacing w:line="520" w:lineRule="exact"/>
              <w:ind w:left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音频编解码技术</w:t>
            </w:r>
          </w:p>
        </w:tc>
      </w:tr>
    </w:tbl>
    <w:p>
      <w:pPr>
        <w:shd w:val="clear"/>
        <w:rPr>
          <w:highlight w:val="none"/>
        </w:rPr>
      </w:pPr>
    </w:p>
    <w:p>
      <w:pPr>
        <w:shd w:val="clear"/>
        <w:rPr>
          <w:rFonts w:hint="default" w:ascii="方正仿宋_GBK" w:hAnsi="宋体" w:eastAsia="方正仿宋_GBK"/>
          <w:b/>
          <w:sz w:val="32"/>
          <w:szCs w:val="32"/>
          <w:highlight w:val="none"/>
          <w:lang w:val="en-US" w:eastAsia="zh-CN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2ED9B"/>
    <w:multiLevelType w:val="singleLevel"/>
    <w:tmpl w:val="93B2ED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606A63E5"/>
    <w:rsid w:val="606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2024-05-20T16:49:00Z</dcterms:created>
  <dc:creator>曾文铸</dc:creator>
  <cp:lastModifiedBy>曾文铸</cp:lastModifiedBy>
  <dcterms:modified xsi:type="dcterms:W3CDTF">2024-05-20T16:51:07Z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62CF13D37E964C5A928A9C2BFD76A339_11</vt:lpwstr>
  </property>
</Properties>
</file>