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26" w:tblpY="557"/>
        <w:tblOverlap w:val="never"/>
        <w:tblW w:w="145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767"/>
        <w:gridCol w:w="1000"/>
        <w:gridCol w:w="750"/>
        <w:gridCol w:w="728"/>
        <w:gridCol w:w="3224"/>
        <w:gridCol w:w="1125"/>
        <w:gridCol w:w="839"/>
        <w:gridCol w:w="1850"/>
        <w:gridCol w:w="1048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5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公文小标宋" w:cs="方正仿宋简体"/>
                <w:color w:val="000000"/>
                <w:sz w:val="36"/>
                <w:szCs w:val="36"/>
                <w:lang w:eastAsia="zh-CN"/>
              </w:rPr>
              <w:t>四川省</w:t>
            </w:r>
            <w:r>
              <w:rPr>
                <w:rFonts w:hint="eastAsia" w:ascii="Times New Roman" w:hAnsi="Times New Roman" w:eastAsia="方正公文小标宋" w:cs="方正仿宋简体"/>
                <w:color w:val="000000"/>
                <w:sz w:val="36"/>
                <w:szCs w:val="36"/>
                <w:lang w:val="en-US" w:eastAsia="zh-CN"/>
              </w:rPr>
              <w:t>社会科学院</w:t>
            </w:r>
            <w:r>
              <w:rPr>
                <w:rFonts w:hint="eastAsia" w:ascii="Times New Roman" w:hAnsi="Times New Roman" w:eastAsia="方正公文小标宋" w:cs="方正仿宋简体"/>
                <w:color w:val="000000"/>
                <w:sz w:val="36"/>
                <w:szCs w:val="36"/>
                <w:lang w:eastAsia="zh-CN"/>
              </w:rPr>
              <w:t>202</w:t>
            </w:r>
            <w:r>
              <w:rPr>
                <w:rFonts w:hint="eastAsia" w:ascii="Times New Roman" w:hAnsi="Times New Roman" w:eastAsia="方正公文小标宋" w:cs="方正仿宋简体"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公文小标宋" w:cs="方正仿宋简体"/>
                <w:color w:val="000000"/>
                <w:sz w:val="36"/>
                <w:szCs w:val="36"/>
                <w:lang w:eastAsia="zh-CN"/>
              </w:rPr>
              <w:t>年公开选调工作人员岗位和条件要求一览表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公开</w:t>
            </w: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选调</w:t>
            </w: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单位</w:t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全</w:t>
            </w: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称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（类别）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选调</w:t>
            </w: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</w:t>
            </w: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类别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</w:t>
            </w: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编码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选调</w:t>
            </w: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名额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选调</w:t>
            </w: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对象</w:t>
            </w:r>
          </w:p>
        </w:tc>
        <w:tc>
          <w:tcPr>
            <w:tcW w:w="6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学历学位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专业条件要求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要求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黑体简体" w:hAnsi="方正黑体简体" w:eastAsia="方正黑体简体" w:cs="方正黑体简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四川省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社会科学院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（公益一类事业单位）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技术服务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专业技术岗位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八级及以下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  <w:t>04101001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川渝两地各级党政群机关公务员、参照公务员法管理人员；川渝两地各级各类型事业单位在编在岗人员；中央在川渝两地单位（包括垂直管理单位、派出单位等）在编在岗机关事业单位人员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  <w:t>30周岁以下（1993年5月29日及以后出生）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土木类、安全科学与工程类、建筑类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四川省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社会科学院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（公益一类事业单位）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管理岗位七级及以下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  <w:t>04101002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川渝两地各级党政群机关公务员、参照公务员法管理人员；川渝两地各级各类型事业单位在编在岗人员；中央在川渝两地单位（包括垂直管理单位、派出单位等）在编在岗机关事业单位人员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  <w:t>35周岁以下（1988年5月29日及以后出生）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硕士研究生及以上学历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中国语言文学（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  <w:t>0501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）、新闻传播学（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  <w:t>0503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）、马克思主义理论（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  <w:t>0305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），以上为一级学科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具有中共党员身份（含预备党员）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因主要从事乡村振兴工作，需经常出差（含高海拔地区），更适合男性报考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10602901"/>
    <w:rsid w:val="1060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2024-05-21T01:27:00Z</dcterms:created>
  <dc:creator>Primadonna</dc:creator>
  <cp:lastModifiedBy>Primadonna</cp:lastModifiedBy>
  <dcterms:modified xsi:type="dcterms:W3CDTF">2024-05-21T01:27:58Z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8DC017D43B064197943EBA72D33D147D_11</vt:lpwstr>
  </property>
</Properties>
</file>