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outlineLvl w:val="0"/>
        <w:rPr>
          <w:rFonts w:hint="eastAsia" w:ascii="方正小标宋简体" w:eastAsia="方正小标宋简体"/>
          <w:spacing w:val="-1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spacing w:val="-10"/>
          <w:sz w:val="44"/>
          <w:szCs w:val="44"/>
          <w:highlight w:val="none"/>
        </w:rPr>
        <w:t>面试考生须知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1.抽签开始后，迟到考生不得进入抽签现场。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2.考生应自觉关闭通讯工具，按要求统一封存。对面试封闭区域内使用通讯工具的考生，按考试违纪有关规定处理。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3.考生抽签确定考场及面试次序。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4.考生应服从工作人员安排，面试前自觉在候考室候考，不得随意离开候考室；面试时由引导员按次序引入考场。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5.考生进入考场后应保持沉着冷静，自觉配合主考官进行面试。没有听清试题时，可以向主考官询问。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6.考生在面试中不得介绍个人姓名、身份证号、准考证号、报名序号、籍贯、就读院校、经历等状况。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7.结构化面试时间为10分钟，试讲面试时间为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  <w:highlight w:val="none"/>
        </w:rPr>
        <w:t>分钟。面试结束后在考场外等候公布成绩。听取面试成绩后，考生应签字确认。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9.考生必须遵守面试纪律。对于一般违纪违规行为的人员，一经查实将参照《公务员考试录用违纪违规行为处理办法》（人社部令第30号），予以处理；对于提供作弊器材或者非法出售试题、答案的，代替他人或者让他人代替自己参加考试的，将按照《刑法》有关规定移交相关部门进行处罚。</w:t>
      </w:r>
    </w:p>
    <w:p>
      <w:bookmarkStart w:id="0" w:name="_GoBack"/>
      <w:bookmarkEnd w:id="0"/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jg4MTg3NWNlYmI0MzgyMzRjZjIzMWVjYzU5MGEifQ=="/>
    <w:docVar w:name="KSO_WPS_MARK_KEY" w:val="b4450724-a2b2-4e0f-b3f5-b26c1ccf1f7e"/>
  </w:docVars>
  <w:rsids>
    <w:rsidRoot w:val="03B913DD"/>
    <w:rsid w:val="03B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2024-05-18T01:48:00Z</dcterms:created>
  <dc:creator>秦小青</dc:creator>
  <cp:lastModifiedBy>秦小青</cp:lastModifiedBy>
  <dcterms:modified xsi:type="dcterms:W3CDTF">2024-05-18T01:48:24Z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5CC1045A6CA74FE9BEA7A61E5812E72D</vt:lpwstr>
  </property>
</Properties>
</file>