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4年新投集团、产投集团</w:t>
      </w:r>
      <w:r>
        <w:rPr>
          <w:rFonts w:hint="eastAsia" w:ascii="宋体" w:hAnsi="宋体" w:cs="宋体"/>
          <w:sz w:val="44"/>
          <w:szCs w:val="44"/>
        </w:rPr>
        <w:t>招聘计划表</w:t>
      </w:r>
    </w:p>
    <w:tbl>
      <w:tblPr>
        <w:tblStyle w:val="2"/>
        <w:tblpPr w:leftFromText="180" w:rightFromText="180" w:vertAnchor="text" w:horzAnchor="page" w:tblpX="1551" w:tblpY="176"/>
        <w:tblOverlap w:val="never"/>
        <w:tblW w:w="14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275"/>
        <w:gridCol w:w="960"/>
        <w:gridCol w:w="1115"/>
        <w:gridCol w:w="1120"/>
        <w:gridCol w:w="2340"/>
        <w:gridCol w:w="2175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湖州织里产业投资运营集团有限公司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设计管理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全日制研究生及以上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交通运输工程类、土木工程类等相关专业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tabs>
                <w:tab w:val="left" w:pos="777"/>
              </w:tabs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有设计院相关工作经验优先考虑；具备中级职称、相关职业资格证书等优先考虑。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湖州雅博实业发展有限公司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吴兴区户籍(含南太湖高新技术产业园区),持有效期内的第三代《中华人民共和国残疾人证》,具有正常履行职责的身体条件，残疾类别限定为听力残疾、视力残疾或肢体残疾。残疾等级要求：视力四级；听力残疾为三、四级且佩戴助听器或安装人工耳蜗能够达到体检标准。肢体残疾为三、四级，若为上肢残疾，应不影响正常办公操作；若为下肢残疾，安装假肢或借助拐杖能独立行走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Mjk2NWM2NjdiMTRiZGRmMGUyMDQ5MjAwZmI2MTIifQ=="/>
  </w:docVars>
  <w:rsids>
    <w:rsidRoot w:val="01DB02EF"/>
    <w:rsid w:val="01D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2024-04-03T03:45:00Z</dcterms:created>
  <dc:creator>PZY</dc:creator>
  <cp:lastModifiedBy>PZY</cp:lastModifiedBy>
  <dcterms:modified xsi:type="dcterms:W3CDTF">2024-04-03T03:46:10Z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0A3C4133411C4E3FA149CA460F8F3A58_11</vt:lpwstr>
  </property>
</Properties>
</file>