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4" w:hanging="960" w:hangingChars="3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考试录用公务员专业条件设置指导目录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二、本目录中的分类是按照公务员招录职位需求进行归类的，与教育学科分类没有直接对应关系。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三、本目录仅适用于全省公务员招录的专业条件设置及审核，考生应参照此目录进行报考。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四、本目录由省公务员主管部门负责解释。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法学、知识产权、监狱学、知识产权法、国际法、国际经济法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国际文化贸易、国际经济、国际贸易、海洋经济学、国际商务、环境资源与发展经济学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财政学、税收学、金融学、保险学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税务、金融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新闻学、传播学、新闻与传播硕士、出版硕士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u w:val="none"/>
                <w:lang w:eastAsia="zh-CN"/>
              </w:rPr>
              <w:t>希伯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u w:val="none"/>
                <w:lang w:val="en-US" w:eastAsia="zh-CN"/>
              </w:rPr>
              <w:t>莱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u w:val="none"/>
                <w:lang w:eastAsia="zh-CN"/>
              </w:rPr>
              <w:t>语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人力资源管理、资源环境与城乡规划管理、文化产业管理、公共关系（学）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体育人文社会学、运动人体科学、体育教育训练学、民族传统体育学、体育经济与管理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数学与应用数学、信息与计算科学、数理基础科学、统计学、应用统计学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建筑环境与设备工程、景观建筑设计、给水排水工程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城乡规划、资源环境与城乡规划管理、城市规划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大地测量学与测量工程、摄影测量与遥感、地图制图学与地理信息工程、地图学与地理信息系统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海洋科学、海洋管理、海洋技术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工程硕士（生物工程、生物医学工程）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人体解剖与组织胚胎学、免疫学、病原生物学、病理学与病理生理学、法医学、放射医学、航空、航天和航海医学、内科学（含：心血管病、血液病、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u w:val="none"/>
                <w:lang w:eastAsia="zh-CN"/>
              </w:rPr>
              <w:t>呼吸系统疾病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u w:val="none"/>
                <w:lang w:eastAsia="zh-CN"/>
              </w:rPr>
              <w:t>核伤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ODc1MDU5NWVlOTE1YTQyNTFjOTc0YmUwN2NmZWEifQ=="/>
  </w:docVars>
  <w:rsids>
    <w:rsidRoot w:val="00000000"/>
    <w:rsid w:val="513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2024-03-31T09:30:34Z</dcterms:created>
  <dc:creator>Lenovo</dc:creator>
  <cp:lastModifiedBy>ZHang</cp:lastModifiedBy>
  <dcterms:modified xsi:type="dcterms:W3CDTF">2024-03-31T09:30:52Z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33EBE3B445F849E080D5C9053C8B3A9C_12</vt:lpwstr>
  </property>
</Properties>
</file>