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left"/>
        <w:rPr>
          <w:rFonts w:hint="default" w:ascii="宋体" w:hAnsi="宋体" w:cs="宋体"/>
          <w:b w:val="0"/>
          <w:bCs/>
          <w:color w:val="auto"/>
          <w:w w:val="85"/>
          <w:kern w:val="0"/>
          <w:sz w:val="28"/>
          <w:szCs w:val="28"/>
          <w:highlight w:val="none"/>
          <w:u w:val="none"/>
          <w:lang w:val="en-US" w:eastAsia="zh-CN"/>
        </w:rPr>
      </w:pPr>
      <w:bookmarkStart w:id="0" w:name="_Toc6286_WPSOffice_Level1"/>
      <w:r>
        <w:rPr>
          <w:rFonts w:hint="eastAsia" w:ascii="宋体" w:hAnsi="宋体" w:cs="宋体"/>
          <w:b w:val="0"/>
          <w:bCs/>
          <w:color w:val="auto"/>
          <w:w w:val="85"/>
          <w:kern w:val="0"/>
          <w:sz w:val="28"/>
          <w:szCs w:val="28"/>
          <w:highlight w:val="none"/>
          <w:u w:val="none"/>
          <w:lang w:val="en-US" w:eastAsia="zh-CN"/>
        </w:rPr>
        <w:t>附件2</w:t>
      </w:r>
    </w:p>
    <w:p>
      <w:pPr>
        <w:adjustRightInd w:val="0"/>
        <w:snapToGrid w:val="0"/>
        <w:spacing w:line="640" w:lineRule="exact"/>
        <w:jc w:val="center"/>
        <w:rPr>
          <w:rFonts w:hint="eastAsia" w:ascii="宋体" w:hAnsi="宋体" w:cs="宋体"/>
          <w:b/>
          <w:color w:val="auto"/>
          <w:w w:val="85"/>
          <w:kern w:val="0"/>
          <w:sz w:val="44"/>
          <w:szCs w:val="44"/>
          <w:highlight w:val="none"/>
        </w:rPr>
      </w:pPr>
      <w:r>
        <w:rPr>
          <w:rFonts w:hint="eastAsia" w:ascii="宋体" w:hAnsi="宋体" w:cs="宋体"/>
          <w:b/>
          <w:color w:val="auto"/>
          <w:w w:val="85"/>
          <w:kern w:val="0"/>
          <w:sz w:val="44"/>
          <w:szCs w:val="44"/>
          <w:highlight w:val="none"/>
          <w:u w:val="none"/>
          <w:lang w:val="en-US" w:eastAsia="zh-CN"/>
        </w:rPr>
        <w:t>2024年</w:t>
      </w:r>
      <w:r>
        <w:rPr>
          <w:rFonts w:hint="eastAsia" w:ascii="宋体" w:hAnsi="宋体" w:cs="宋体"/>
          <w:b/>
          <w:color w:val="auto"/>
          <w:w w:val="85"/>
          <w:kern w:val="0"/>
          <w:sz w:val="44"/>
          <w:szCs w:val="44"/>
          <w:highlight w:val="none"/>
        </w:rPr>
        <w:t>厦门市事业单位</w:t>
      </w:r>
      <w:r>
        <w:rPr>
          <w:rFonts w:hint="eastAsia" w:ascii="宋体" w:hAnsi="宋体" w:cs="宋体"/>
          <w:b/>
          <w:color w:val="auto"/>
          <w:w w:val="85"/>
          <w:kern w:val="0"/>
          <w:sz w:val="44"/>
          <w:szCs w:val="44"/>
          <w:highlight w:val="none"/>
          <w:lang w:eastAsia="zh-CN"/>
        </w:rPr>
        <w:t>公开</w:t>
      </w:r>
      <w:r>
        <w:rPr>
          <w:rFonts w:hint="eastAsia" w:ascii="宋体" w:hAnsi="宋体" w:cs="宋体"/>
          <w:b/>
          <w:color w:val="auto"/>
          <w:w w:val="85"/>
          <w:kern w:val="0"/>
          <w:sz w:val="44"/>
          <w:szCs w:val="44"/>
          <w:highlight w:val="none"/>
        </w:rPr>
        <w:t>招聘工作人员</w:t>
      </w:r>
    </w:p>
    <w:p>
      <w:pPr>
        <w:adjustRightInd w:val="0"/>
        <w:snapToGrid w:val="0"/>
        <w:spacing w:line="640" w:lineRule="exact"/>
        <w:jc w:val="center"/>
        <w:rPr>
          <w:rFonts w:hint="eastAsia" w:ascii="宋体" w:hAnsi="宋体" w:cs="宋体" w:eastAsiaTheme="minorEastAsia"/>
          <w:b/>
          <w:color w:val="auto"/>
          <w:w w:val="85"/>
          <w:kern w:val="0"/>
          <w:sz w:val="44"/>
          <w:szCs w:val="44"/>
          <w:highlight w:val="none"/>
          <w:lang w:eastAsia="zh-CN"/>
        </w:rPr>
      </w:pPr>
      <w:r>
        <w:rPr>
          <w:rFonts w:hint="eastAsia" w:ascii="宋体" w:hAnsi="宋体" w:cs="宋体"/>
          <w:b/>
          <w:color w:val="auto"/>
          <w:w w:val="85"/>
          <w:kern w:val="0"/>
          <w:sz w:val="44"/>
          <w:szCs w:val="44"/>
          <w:highlight w:val="none"/>
        </w:rPr>
        <w:t>报考</w:t>
      </w:r>
      <w:bookmarkEnd w:id="0"/>
      <w:r>
        <w:rPr>
          <w:rFonts w:hint="eastAsia" w:ascii="宋体" w:hAnsi="宋体" w:cs="宋体"/>
          <w:b/>
          <w:color w:val="auto"/>
          <w:w w:val="85"/>
          <w:kern w:val="0"/>
          <w:sz w:val="44"/>
          <w:szCs w:val="44"/>
          <w:highlight w:val="none"/>
          <w:lang w:eastAsia="zh-CN"/>
        </w:rPr>
        <w:t>须知</w:t>
      </w:r>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highlight w:val="none"/>
          <w:lang w:val="en-US" w:eastAsia="zh-CN" w:bidi="ar-SA"/>
        </w:rPr>
        <w:id w:val="147477155"/>
        <w15:color w:val="DBDBDB"/>
        <w:docPartObj>
          <w:docPartGallery w:val="Table of Contents"/>
          <w:docPartUnique/>
        </w:docPartObj>
      </w:sdtPr>
      <w:sdtEndPr>
        <w:rPr>
          <w:rFonts w:ascii="宋体" w:hAnsi="宋体" w:eastAsia="宋体" w:cstheme="minorBidi"/>
          <w:color w:val="auto"/>
          <w:kern w:val="2"/>
          <w:sz w:val="21"/>
          <w:szCs w:val="22"/>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rPr>
              <w:color w:val="auto"/>
              <w:highlight w:val="none"/>
            </w:rPr>
          </w:pP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color w:val="auto"/>
              <w:highlight w:val="none"/>
            </w:rPr>
            <w:instrText xml:space="preserve"> HYPERLINK \l _Toc15362 </w:instrText>
          </w:r>
          <w:r>
            <w:rPr>
              <w:color w:val="auto"/>
              <w:highlight w:val="none"/>
            </w:rPr>
            <w:fldChar w:fldCharType="separate"/>
          </w:r>
          <w:r>
            <w:rPr>
              <w:rFonts w:hint="eastAsia" w:ascii="黑体" w:hAnsi="黑体" w:eastAsia="黑体"/>
              <w:bCs/>
              <w:color w:val="auto"/>
              <w:szCs w:val="32"/>
              <w:highlight w:val="none"/>
            </w:rPr>
            <w:t>一、 基本条件</w:t>
          </w:r>
          <w:r>
            <w:rPr>
              <w:color w:val="auto"/>
              <w:highlight w:val="none"/>
            </w:rPr>
            <w:tab/>
          </w:r>
          <w:r>
            <w:rPr>
              <w:color w:val="auto"/>
              <w:highlight w:val="none"/>
            </w:rPr>
            <w:fldChar w:fldCharType="begin"/>
          </w:r>
          <w:r>
            <w:rPr>
              <w:color w:val="auto"/>
              <w:highlight w:val="none"/>
            </w:rPr>
            <w:instrText xml:space="preserve"> PAGEREF _Toc15362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_Toc25347 </w:instrText>
          </w:r>
          <w:r>
            <w:rPr>
              <w:color w:val="auto"/>
              <w:highlight w:val="none"/>
            </w:rPr>
            <w:fldChar w:fldCharType="separate"/>
          </w:r>
          <w:r>
            <w:rPr>
              <w:rFonts w:hint="eastAsia" w:ascii="黑体" w:hAnsi="黑体" w:eastAsia="黑体"/>
              <w:bCs/>
              <w:color w:val="auto"/>
              <w:szCs w:val="32"/>
              <w:highlight w:val="none"/>
            </w:rPr>
            <w:t>二、 不得报考或取消报考（聘用）资格的情形</w:t>
          </w:r>
          <w:r>
            <w:rPr>
              <w:color w:val="auto"/>
              <w:highlight w:val="none"/>
            </w:rPr>
            <w:tab/>
          </w:r>
          <w:r>
            <w:rPr>
              <w:color w:val="auto"/>
              <w:highlight w:val="none"/>
            </w:rPr>
            <w:fldChar w:fldCharType="begin"/>
          </w:r>
          <w:r>
            <w:rPr>
              <w:color w:val="auto"/>
              <w:highlight w:val="none"/>
            </w:rPr>
            <w:instrText xml:space="preserve"> PAGEREF _Toc25347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_Toc28631 </w:instrText>
          </w:r>
          <w:r>
            <w:rPr>
              <w:color w:val="auto"/>
              <w:highlight w:val="none"/>
            </w:rPr>
            <w:fldChar w:fldCharType="separate"/>
          </w:r>
          <w:r>
            <w:rPr>
              <w:rFonts w:hint="eastAsia" w:ascii="黑体" w:hAnsi="黑体" w:eastAsia="黑体"/>
              <w:bCs/>
              <w:color w:val="auto"/>
              <w:szCs w:val="32"/>
              <w:highlight w:val="none"/>
            </w:rPr>
            <w:t xml:space="preserve">三、 </w:t>
          </w:r>
          <w:r>
            <w:rPr>
              <w:rFonts w:hint="eastAsia" w:ascii="黑体" w:hAnsi="黑体" w:eastAsia="黑体"/>
              <w:bCs/>
              <w:color w:val="auto"/>
              <w:szCs w:val="32"/>
              <w:highlight w:val="none"/>
              <w:lang w:eastAsia="zh-CN"/>
            </w:rPr>
            <w:t>选报岗位</w:t>
          </w:r>
          <w:r>
            <w:rPr>
              <w:color w:val="auto"/>
              <w:highlight w:val="none"/>
            </w:rPr>
            <w:tab/>
          </w:r>
          <w:r>
            <w:rPr>
              <w:color w:val="auto"/>
              <w:highlight w:val="none"/>
            </w:rPr>
            <w:fldChar w:fldCharType="begin"/>
          </w:r>
          <w:r>
            <w:rPr>
              <w:color w:val="auto"/>
              <w:highlight w:val="none"/>
            </w:rPr>
            <w:instrText xml:space="preserve"> PAGEREF _Toc28631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_Toc29248 </w:instrText>
          </w:r>
          <w:r>
            <w:rPr>
              <w:color w:val="auto"/>
              <w:highlight w:val="none"/>
            </w:rPr>
            <w:fldChar w:fldCharType="separate"/>
          </w:r>
          <w:r>
            <w:rPr>
              <w:rFonts w:hint="eastAsia" w:ascii="楷体" w:hAnsi="楷体" w:eastAsia="楷体"/>
              <w:color w:val="auto"/>
              <w:szCs w:val="32"/>
              <w:highlight w:val="none"/>
            </w:rPr>
            <w:t>（一）</w:t>
          </w:r>
          <w:r>
            <w:rPr>
              <w:rFonts w:hint="eastAsia" w:ascii="楷体" w:hAnsi="楷体" w:eastAsia="楷体"/>
              <w:color w:val="auto"/>
              <w:szCs w:val="32"/>
              <w:highlight w:val="none"/>
              <w:lang w:eastAsia="zh-CN"/>
            </w:rPr>
            <w:t>报考</w:t>
          </w:r>
          <w:r>
            <w:rPr>
              <w:rFonts w:hint="eastAsia" w:ascii="楷体" w:hAnsi="楷体" w:eastAsia="楷体"/>
              <w:color w:val="auto"/>
              <w:szCs w:val="32"/>
              <w:highlight w:val="none"/>
            </w:rPr>
            <w:t>条件确认</w:t>
          </w:r>
          <w:r>
            <w:rPr>
              <w:color w:val="auto"/>
              <w:highlight w:val="none"/>
            </w:rPr>
            <w:tab/>
          </w:r>
          <w:r>
            <w:rPr>
              <w:color w:val="auto"/>
              <w:highlight w:val="none"/>
            </w:rPr>
            <w:fldChar w:fldCharType="begin"/>
          </w:r>
          <w:r>
            <w:rPr>
              <w:color w:val="auto"/>
              <w:highlight w:val="none"/>
            </w:rPr>
            <w:instrText xml:space="preserve"> PAGEREF _Toc29248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_Toc9478 </w:instrText>
          </w:r>
          <w:r>
            <w:rPr>
              <w:color w:val="auto"/>
              <w:highlight w:val="none"/>
            </w:rPr>
            <w:fldChar w:fldCharType="separate"/>
          </w:r>
          <w:r>
            <w:rPr>
              <w:rFonts w:hint="eastAsia" w:ascii="楷体" w:hAnsi="楷体" w:eastAsia="楷体"/>
              <w:color w:val="auto"/>
              <w:szCs w:val="32"/>
              <w:highlight w:val="none"/>
            </w:rPr>
            <w:t>（二）</w:t>
          </w:r>
          <w:r>
            <w:rPr>
              <w:rFonts w:hint="eastAsia" w:ascii="楷体" w:hAnsi="楷体" w:eastAsia="楷体"/>
              <w:color w:val="auto"/>
              <w:szCs w:val="32"/>
              <w:highlight w:val="none"/>
              <w:lang w:eastAsia="zh-CN"/>
            </w:rPr>
            <w:t>照片要求</w:t>
          </w:r>
          <w:r>
            <w:rPr>
              <w:color w:val="auto"/>
              <w:highlight w:val="none"/>
            </w:rPr>
            <w:tab/>
          </w:r>
          <w:r>
            <w:rPr>
              <w:color w:val="auto"/>
              <w:highlight w:val="none"/>
            </w:rPr>
            <w:fldChar w:fldCharType="begin"/>
          </w:r>
          <w:r>
            <w:rPr>
              <w:color w:val="auto"/>
              <w:highlight w:val="none"/>
            </w:rPr>
            <w:instrText xml:space="preserve"> PAGEREF _Toc9478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_Toc165 </w:instrText>
          </w:r>
          <w:r>
            <w:rPr>
              <w:color w:val="auto"/>
              <w:highlight w:val="none"/>
            </w:rPr>
            <w:fldChar w:fldCharType="separate"/>
          </w:r>
          <w:r>
            <w:rPr>
              <w:rFonts w:hint="eastAsia" w:ascii="楷体" w:hAnsi="楷体" w:eastAsia="楷体"/>
              <w:color w:val="auto"/>
              <w:szCs w:val="32"/>
              <w:highlight w:val="none"/>
              <w:lang w:eastAsia="zh-CN"/>
            </w:rPr>
            <w:t>（三）个人简历</w:t>
          </w:r>
          <w:r>
            <w:rPr>
              <w:color w:val="auto"/>
              <w:highlight w:val="none"/>
            </w:rPr>
            <w:tab/>
          </w:r>
          <w:r>
            <w:rPr>
              <w:color w:val="auto"/>
              <w:highlight w:val="none"/>
            </w:rPr>
            <w:fldChar w:fldCharType="begin"/>
          </w:r>
          <w:r>
            <w:rPr>
              <w:color w:val="auto"/>
              <w:highlight w:val="none"/>
            </w:rPr>
            <w:instrText xml:space="preserve"> PAGEREF _Toc165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_Toc27685 </w:instrText>
          </w:r>
          <w:r>
            <w:rPr>
              <w:color w:val="auto"/>
              <w:highlight w:val="none"/>
            </w:rPr>
            <w:fldChar w:fldCharType="separate"/>
          </w:r>
          <w:r>
            <w:rPr>
              <w:rFonts w:hint="eastAsia" w:ascii="楷体" w:hAnsi="楷体" w:eastAsia="楷体"/>
              <w:color w:val="auto"/>
              <w:szCs w:val="32"/>
              <w:highlight w:val="none"/>
            </w:rPr>
            <w:t>（</w:t>
          </w:r>
          <w:r>
            <w:rPr>
              <w:rFonts w:hint="eastAsia" w:ascii="楷体" w:hAnsi="楷体" w:eastAsia="楷体"/>
              <w:color w:val="auto"/>
              <w:szCs w:val="32"/>
              <w:highlight w:val="none"/>
              <w:lang w:eastAsia="zh-CN"/>
            </w:rPr>
            <w:t>四</w:t>
          </w:r>
          <w:r>
            <w:rPr>
              <w:rFonts w:hint="eastAsia" w:ascii="楷体" w:hAnsi="楷体" w:eastAsia="楷体"/>
              <w:color w:val="auto"/>
              <w:szCs w:val="32"/>
              <w:highlight w:val="none"/>
            </w:rPr>
            <w:t>）专门岗位</w:t>
          </w:r>
          <w:r>
            <w:rPr>
              <w:color w:val="auto"/>
              <w:highlight w:val="none"/>
            </w:rPr>
            <w:tab/>
          </w:r>
          <w:r>
            <w:rPr>
              <w:color w:val="auto"/>
              <w:highlight w:val="none"/>
            </w:rPr>
            <w:fldChar w:fldCharType="begin"/>
          </w:r>
          <w:r>
            <w:rPr>
              <w:color w:val="auto"/>
              <w:highlight w:val="none"/>
            </w:rPr>
            <w:instrText xml:space="preserve"> PAGEREF _Toc27685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_Toc24573 </w:instrText>
          </w:r>
          <w:r>
            <w:rPr>
              <w:color w:val="auto"/>
              <w:highlight w:val="none"/>
            </w:rPr>
            <w:fldChar w:fldCharType="separate"/>
          </w:r>
          <w:r>
            <w:rPr>
              <w:rFonts w:hint="eastAsia" w:ascii="楷体" w:hAnsi="楷体" w:eastAsia="楷体"/>
              <w:color w:val="auto"/>
              <w:szCs w:val="32"/>
              <w:highlight w:val="none"/>
            </w:rPr>
            <w:t>（</w:t>
          </w:r>
          <w:r>
            <w:rPr>
              <w:rFonts w:hint="eastAsia" w:ascii="楷体" w:hAnsi="楷体" w:eastAsia="楷体"/>
              <w:color w:val="auto"/>
              <w:szCs w:val="32"/>
              <w:highlight w:val="none"/>
              <w:lang w:eastAsia="zh-CN"/>
            </w:rPr>
            <w:t>五</w:t>
          </w:r>
          <w:r>
            <w:rPr>
              <w:rFonts w:hint="eastAsia" w:ascii="楷体" w:hAnsi="楷体" w:eastAsia="楷体"/>
              <w:color w:val="auto"/>
              <w:szCs w:val="32"/>
              <w:highlight w:val="none"/>
            </w:rPr>
            <w:t>）回避情形</w:t>
          </w:r>
          <w:r>
            <w:rPr>
              <w:color w:val="auto"/>
              <w:highlight w:val="none"/>
            </w:rPr>
            <w:tab/>
          </w:r>
          <w:r>
            <w:rPr>
              <w:color w:val="auto"/>
              <w:highlight w:val="none"/>
            </w:rPr>
            <w:fldChar w:fldCharType="begin"/>
          </w:r>
          <w:r>
            <w:rPr>
              <w:color w:val="auto"/>
              <w:highlight w:val="none"/>
            </w:rPr>
            <w:instrText xml:space="preserve"> PAGEREF _Toc24573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_Toc3357 </w:instrText>
          </w:r>
          <w:r>
            <w:rPr>
              <w:color w:val="auto"/>
              <w:highlight w:val="none"/>
            </w:rPr>
            <w:fldChar w:fldCharType="separate"/>
          </w:r>
          <w:r>
            <w:rPr>
              <w:rFonts w:hint="eastAsia" w:ascii="黑体" w:hAnsi="黑体" w:eastAsia="黑体" w:cs="黑体"/>
              <w:bCs/>
              <w:strike w:val="0"/>
              <w:dstrike w:val="0"/>
              <w:color w:val="auto"/>
              <w:szCs w:val="32"/>
              <w:highlight w:val="none"/>
              <w:lang w:eastAsia="zh-CN"/>
            </w:rPr>
            <w:t xml:space="preserve">四、 </w:t>
          </w:r>
          <w:r>
            <w:rPr>
              <w:rFonts w:hint="eastAsia" w:ascii="黑体" w:hAnsi="黑体" w:eastAsia="黑体"/>
              <w:bCs/>
              <w:color w:val="auto"/>
              <w:szCs w:val="32"/>
              <w:highlight w:val="none"/>
            </w:rPr>
            <w:t>年龄</w:t>
          </w:r>
          <w:r>
            <w:rPr>
              <w:rFonts w:hint="eastAsia" w:ascii="黑体" w:hAnsi="黑体" w:eastAsia="黑体"/>
              <w:bCs/>
              <w:color w:val="auto"/>
              <w:szCs w:val="32"/>
              <w:highlight w:val="none"/>
              <w:lang w:eastAsia="zh-CN"/>
            </w:rPr>
            <w:t>、资格（历）等的</w:t>
          </w:r>
          <w:r>
            <w:rPr>
              <w:rFonts w:hint="eastAsia" w:ascii="黑体" w:hAnsi="黑体" w:eastAsia="黑体"/>
              <w:bCs/>
              <w:color w:val="auto"/>
              <w:szCs w:val="32"/>
              <w:highlight w:val="none"/>
            </w:rPr>
            <w:t>计算</w:t>
          </w:r>
          <w:r>
            <w:rPr>
              <w:rFonts w:hint="eastAsia" w:ascii="黑体" w:hAnsi="黑体" w:eastAsia="黑体"/>
              <w:bCs/>
              <w:color w:val="auto"/>
              <w:szCs w:val="32"/>
              <w:highlight w:val="none"/>
              <w:lang w:eastAsia="zh-CN"/>
            </w:rPr>
            <w:t>办法</w:t>
          </w:r>
          <w:r>
            <w:rPr>
              <w:color w:val="auto"/>
              <w:highlight w:val="none"/>
            </w:rPr>
            <w:tab/>
          </w:r>
          <w:r>
            <w:rPr>
              <w:color w:val="auto"/>
              <w:highlight w:val="none"/>
            </w:rPr>
            <w:fldChar w:fldCharType="begin"/>
          </w:r>
          <w:r>
            <w:rPr>
              <w:color w:val="auto"/>
              <w:highlight w:val="none"/>
            </w:rPr>
            <w:instrText xml:space="preserve"> PAGEREF _Toc3357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_Toc10414 </w:instrText>
          </w:r>
          <w:r>
            <w:rPr>
              <w:color w:val="auto"/>
              <w:highlight w:val="none"/>
            </w:rPr>
            <w:fldChar w:fldCharType="separate"/>
          </w:r>
          <w:r>
            <w:rPr>
              <w:rFonts w:hint="eastAsia" w:ascii="楷体" w:hAnsi="楷体" w:eastAsia="楷体" w:cs="楷体"/>
              <w:bCs/>
              <w:color w:val="auto"/>
              <w:szCs w:val="32"/>
              <w:highlight w:val="none"/>
            </w:rPr>
            <w:t>（一） 年龄</w:t>
          </w:r>
          <w:r>
            <w:rPr>
              <w:color w:val="auto"/>
              <w:highlight w:val="none"/>
            </w:rPr>
            <w:tab/>
          </w:r>
          <w:r>
            <w:rPr>
              <w:color w:val="auto"/>
              <w:highlight w:val="none"/>
            </w:rPr>
            <w:fldChar w:fldCharType="begin"/>
          </w:r>
          <w:r>
            <w:rPr>
              <w:color w:val="auto"/>
              <w:highlight w:val="none"/>
            </w:rPr>
            <w:instrText xml:space="preserve"> PAGEREF _Toc10414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_Toc30299 </w:instrText>
          </w:r>
          <w:r>
            <w:rPr>
              <w:color w:val="auto"/>
              <w:highlight w:val="none"/>
            </w:rPr>
            <w:fldChar w:fldCharType="separate"/>
          </w:r>
          <w:r>
            <w:rPr>
              <w:rFonts w:hint="eastAsia" w:ascii="楷体" w:hAnsi="楷体" w:eastAsia="楷体" w:cs="楷体"/>
              <w:bCs/>
              <w:color w:val="auto"/>
              <w:szCs w:val="32"/>
              <w:highlight w:val="none"/>
            </w:rPr>
            <w:t>（二） 资格（历）</w:t>
          </w:r>
          <w:r>
            <w:rPr>
              <w:rFonts w:hint="eastAsia" w:ascii="楷体" w:hAnsi="楷体" w:eastAsia="楷体" w:cs="楷体"/>
              <w:bCs/>
              <w:color w:val="auto"/>
              <w:szCs w:val="32"/>
              <w:highlight w:val="none"/>
              <w:lang w:eastAsia="zh-CN"/>
            </w:rPr>
            <w:t>等</w:t>
          </w:r>
          <w:r>
            <w:rPr>
              <w:color w:val="auto"/>
              <w:highlight w:val="none"/>
            </w:rPr>
            <w:tab/>
          </w:r>
          <w:r>
            <w:rPr>
              <w:color w:val="auto"/>
              <w:highlight w:val="none"/>
            </w:rPr>
            <w:fldChar w:fldCharType="begin"/>
          </w:r>
          <w:r>
            <w:rPr>
              <w:color w:val="auto"/>
              <w:highlight w:val="none"/>
            </w:rPr>
            <w:instrText xml:space="preserve"> PAGEREF _Toc30299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_Toc20649 </w:instrText>
          </w:r>
          <w:r>
            <w:rPr>
              <w:color w:val="auto"/>
              <w:highlight w:val="none"/>
            </w:rPr>
            <w:fldChar w:fldCharType="separate"/>
          </w:r>
          <w:r>
            <w:rPr>
              <w:rFonts w:hint="eastAsia" w:ascii="黑体" w:hAnsi="黑体" w:eastAsia="黑体" w:cs="黑体"/>
              <w:bCs/>
              <w:strike w:val="0"/>
              <w:dstrike w:val="0"/>
              <w:color w:val="auto"/>
              <w:szCs w:val="32"/>
              <w:highlight w:val="none"/>
            </w:rPr>
            <w:t xml:space="preserve">五、 </w:t>
          </w:r>
          <w:r>
            <w:rPr>
              <w:rFonts w:hint="eastAsia" w:ascii="黑体" w:hAnsi="黑体" w:eastAsia="黑体"/>
              <w:bCs/>
              <w:color w:val="auto"/>
              <w:szCs w:val="32"/>
              <w:highlight w:val="none"/>
            </w:rPr>
            <w:t>学历（位）认定</w:t>
          </w:r>
          <w:r>
            <w:rPr>
              <w:color w:val="auto"/>
              <w:highlight w:val="none"/>
            </w:rPr>
            <w:tab/>
          </w:r>
          <w:r>
            <w:rPr>
              <w:color w:val="auto"/>
              <w:highlight w:val="none"/>
            </w:rPr>
            <w:fldChar w:fldCharType="begin"/>
          </w:r>
          <w:r>
            <w:rPr>
              <w:color w:val="auto"/>
              <w:highlight w:val="none"/>
            </w:rPr>
            <w:instrText xml:space="preserve"> PAGEREF _Toc20649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_Toc19057 </w:instrText>
          </w:r>
          <w:r>
            <w:rPr>
              <w:color w:val="auto"/>
              <w:highlight w:val="none"/>
            </w:rPr>
            <w:fldChar w:fldCharType="separate"/>
          </w:r>
          <w:r>
            <w:rPr>
              <w:rFonts w:hint="eastAsia" w:ascii="楷体" w:hAnsi="楷体" w:eastAsia="楷体"/>
              <w:color w:val="auto"/>
              <w:szCs w:val="32"/>
              <w:highlight w:val="none"/>
            </w:rPr>
            <w:t>（一）境内学历</w:t>
          </w:r>
          <w:r>
            <w:rPr>
              <w:rFonts w:hint="eastAsia" w:ascii="楷体" w:hAnsi="楷体" w:eastAsia="楷体"/>
              <w:color w:val="auto"/>
              <w:szCs w:val="32"/>
              <w:highlight w:val="none"/>
              <w:lang w:eastAsia="zh-CN"/>
            </w:rPr>
            <w:t>（位）</w:t>
          </w:r>
          <w:r>
            <w:rPr>
              <w:color w:val="auto"/>
              <w:highlight w:val="none"/>
            </w:rPr>
            <w:tab/>
          </w:r>
          <w:r>
            <w:rPr>
              <w:color w:val="auto"/>
              <w:highlight w:val="none"/>
            </w:rPr>
            <w:fldChar w:fldCharType="begin"/>
          </w:r>
          <w:r>
            <w:rPr>
              <w:color w:val="auto"/>
              <w:highlight w:val="none"/>
            </w:rPr>
            <w:instrText xml:space="preserve"> PAGEREF _Toc19057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_Toc2804 </w:instrText>
          </w:r>
          <w:r>
            <w:rPr>
              <w:color w:val="auto"/>
              <w:highlight w:val="none"/>
            </w:rPr>
            <w:fldChar w:fldCharType="separate"/>
          </w:r>
          <w:r>
            <w:rPr>
              <w:rFonts w:hint="eastAsia" w:ascii="楷体" w:hAnsi="楷体" w:eastAsia="楷体"/>
              <w:color w:val="auto"/>
              <w:szCs w:val="32"/>
              <w:highlight w:val="none"/>
            </w:rPr>
            <w:t>（二）第二学士学位</w:t>
          </w:r>
          <w:r>
            <w:rPr>
              <w:color w:val="auto"/>
              <w:highlight w:val="none"/>
            </w:rPr>
            <w:tab/>
          </w:r>
          <w:r>
            <w:rPr>
              <w:color w:val="auto"/>
              <w:highlight w:val="none"/>
            </w:rPr>
            <w:fldChar w:fldCharType="begin"/>
          </w:r>
          <w:r>
            <w:rPr>
              <w:color w:val="auto"/>
              <w:highlight w:val="none"/>
            </w:rPr>
            <w:instrText xml:space="preserve"> PAGEREF _Toc2804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_Toc10245 </w:instrText>
          </w:r>
          <w:r>
            <w:rPr>
              <w:color w:val="auto"/>
              <w:highlight w:val="none"/>
            </w:rPr>
            <w:fldChar w:fldCharType="separate"/>
          </w:r>
          <w:r>
            <w:rPr>
              <w:rFonts w:hint="eastAsia" w:ascii="楷体" w:hAnsi="楷体" w:eastAsia="楷体"/>
              <w:color w:val="auto"/>
              <w:szCs w:val="32"/>
              <w:highlight w:val="none"/>
              <w:lang w:eastAsia="zh-CN"/>
            </w:rPr>
            <w:t>（三）境外学历（位）</w:t>
          </w:r>
          <w:r>
            <w:rPr>
              <w:color w:val="auto"/>
              <w:highlight w:val="none"/>
            </w:rPr>
            <w:tab/>
          </w:r>
          <w:r>
            <w:rPr>
              <w:color w:val="auto"/>
              <w:highlight w:val="none"/>
            </w:rPr>
            <w:fldChar w:fldCharType="begin"/>
          </w:r>
          <w:r>
            <w:rPr>
              <w:color w:val="auto"/>
              <w:highlight w:val="none"/>
            </w:rPr>
            <w:instrText xml:space="preserve"> PAGEREF _Toc10245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_Toc15473 </w:instrText>
          </w:r>
          <w:r>
            <w:rPr>
              <w:color w:val="auto"/>
              <w:highlight w:val="none"/>
            </w:rPr>
            <w:fldChar w:fldCharType="separate"/>
          </w:r>
          <w:r>
            <w:rPr>
              <w:rFonts w:hint="eastAsia" w:ascii="楷体" w:hAnsi="楷体" w:eastAsia="楷体"/>
              <w:color w:val="auto"/>
              <w:szCs w:val="32"/>
              <w:highlight w:val="none"/>
            </w:rPr>
            <w:t>（</w:t>
          </w:r>
          <w:r>
            <w:rPr>
              <w:rFonts w:hint="eastAsia" w:ascii="楷体" w:hAnsi="楷体" w:eastAsia="楷体"/>
              <w:color w:val="auto"/>
              <w:szCs w:val="32"/>
              <w:highlight w:val="none"/>
              <w:lang w:eastAsia="zh-CN"/>
            </w:rPr>
            <w:t>四</w:t>
          </w:r>
          <w:r>
            <w:rPr>
              <w:rFonts w:hint="eastAsia" w:ascii="楷体" w:hAnsi="楷体" w:eastAsia="楷体"/>
              <w:color w:val="auto"/>
              <w:szCs w:val="32"/>
              <w:highlight w:val="none"/>
            </w:rPr>
            <w:t>）我省“双学位”“双专业”学历</w:t>
          </w:r>
          <w:r>
            <w:rPr>
              <w:color w:val="auto"/>
              <w:highlight w:val="none"/>
            </w:rPr>
            <w:tab/>
          </w:r>
          <w:r>
            <w:rPr>
              <w:color w:val="auto"/>
              <w:highlight w:val="none"/>
            </w:rPr>
            <w:fldChar w:fldCharType="begin"/>
          </w:r>
          <w:r>
            <w:rPr>
              <w:color w:val="auto"/>
              <w:highlight w:val="none"/>
            </w:rPr>
            <w:instrText xml:space="preserve"> PAGEREF _Toc15473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_Toc26115 </w:instrText>
          </w:r>
          <w:r>
            <w:rPr>
              <w:color w:val="auto"/>
              <w:highlight w:val="none"/>
            </w:rPr>
            <w:fldChar w:fldCharType="separate"/>
          </w:r>
          <w:r>
            <w:rPr>
              <w:rFonts w:hint="eastAsia" w:ascii="楷体" w:hAnsi="楷体" w:eastAsia="楷体"/>
              <w:color w:val="auto"/>
              <w:szCs w:val="32"/>
              <w:highlight w:val="none"/>
            </w:rPr>
            <w:t>（</w:t>
          </w:r>
          <w:r>
            <w:rPr>
              <w:rFonts w:hint="eastAsia" w:ascii="楷体" w:hAnsi="楷体" w:eastAsia="楷体"/>
              <w:color w:val="auto"/>
              <w:szCs w:val="32"/>
              <w:highlight w:val="none"/>
              <w:lang w:eastAsia="zh-CN"/>
            </w:rPr>
            <w:t>五</w:t>
          </w:r>
          <w:r>
            <w:rPr>
              <w:rFonts w:hint="eastAsia" w:ascii="楷体" w:hAnsi="楷体" w:eastAsia="楷体"/>
              <w:color w:val="auto"/>
              <w:szCs w:val="32"/>
              <w:highlight w:val="none"/>
            </w:rPr>
            <w:t>）</w:t>
          </w:r>
          <w:r>
            <w:rPr>
              <w:rFonts w:hint="eastAsia" w:ascii="楷体" w:hAnsi="楷体" w:eastAsia="楷体"/>
              <w:color w:val="auto"/>
              <w:szCs w:val="32"/>
              <w:highlight w:val="none"/>
              <w:lang w:eastAsia="zh-CN"/>
            </w:rPr>
            <w:t>提醒事项</w:t>
          </w:r>
          <w:r>
            <w:rPr>
              <w:color w:val="auto"/>
              <w:highlight w:val="none"/>
            </w:rPr>
            <w:tab/>
          </w:r>
          <w:r>
            <w:rPr>
              <w:color w:val="auto"/>
              <w:highlight w:val="none"/>
            </w:rPr>
            <w:fldChar w:fldCharType="begin"/>
          </w:r>
          <w:r>
            <w:rPr>
              <w:color w:val="auto"/>
              <w:highlight w:val="none"/>
            </w:rPr>
            <w:instrText xml:space="preserve"> PAGEREF _Toc26115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_Toc30657 </w:instrText>
          </w:r>
          <w:r>
            <w:rPr>
              <w:color w:val="auto"/>
              <w:highlight w:val="none"/>
            </w:rPr>
            <w:fldChar w:fldCharType="separate"/>
          </w:r>
          <w:r>
            <w:rPr>
              <w:rFonts w:hint="eastAsia" w:ascii="黑体" w:hAnsi="黑体" w:eastAsia="黑体" w:cs="黑体"/>
              <w:bCs/>
              <w:strike w:val="0"/>
              <w:dstrike w:val="0"/>
              <w:color w:val="auto"/>
              <w:szCs w:val="32"/>
              <w:highlight w:val="none"/>
            </w:rPr>
            <w:t xml:space="preserve">六、 </w:t>
          </w:r>
          <w:r>
            <w:rPr>
              <w:rFonts w:hint="eastAsia" w:ascii="黑体" w:hAnsi="黑体" w:eastAsia="黑体"/>
              <w:bCs/>
              <w:color w:val="auto"/>
              <w:szCs w:val="32"/>
              <w:highlight w:val="none"/>
            </w:rPr>
            <w:t>专业</w:t>
          </w:r>
          <w:r>
            <w:rPr>
              <w:color w:val="auto"/>
              <w:highlight w:val="none"/>
            </w:rPr>
            <w:tab/>
          </w:r>
          <w:r>
            <w:rPr>
              <w:color w:val="auto"/>
              <w:highlight w:val="none"/>
            </w:rPr>
            <w:fldChar w:fldCharType="begin"/>
          </w:r>
          <w:r>
            <w:rPr>
              <w:color w:val="auto"/>
              <w:highlight w:val="none"/>
            </w:rPr>
            <w:instrText xml:space="preserve"> PAGEREF _Toc30657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_Toc3675 </w:instrText>
          </w:r>
          <w:r>
            <w:rPr>
              <w:color w:val="auto"/>
              <w:highlight w:val="none"/>
            </w:rPr>
            <w:fldChar w:fldCharType="separate"/>
          </w:r>
          <w:r>
            <w:rPr>
              <w:rFonts w:hint="eastAsia" w:ascii="楷体" w:hAnsi="楷体" w:eastAsia="楷体"/>
              <w:color w:val="auto"/>
              <w:szCs w:val="32"/>
              <w:highlight w:val="none"/>
            </w:rPr>
            <w:t>（一）填报专业名称</w:t>
          </w:r>
          <w:r>
            <w:rPr>
              <w:color w:val="auto"/>
              <w:highlight w:val="none"/>
            </w:rPr>
            <w:tab/>
          </w:r>
          <w:r>
            <w:rPr>
              <w:color w:val="auto"/>
              <w:highlight w:val="none"/>
            </w:rPr>
            <w:fldChar w:fldCharType="begin"/>
          </w:r>
          <w:r>
            <w:rPr>
              <w:color w:val="auto"/>
              <w:highlight w:val="none"/>
            </w:rPr>
            <w:instrText xml:space="preserve"> PAGEREF _Toc3675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_Toc16768 </w:instrText>
          </w:r>
          <w:r>
            <w:rPr>
              <w:color w:val="auto"/>
              <w:highlight w:val="none"/>
            </w:rPr>
            <w:fldChar w:fldCharType="separate"/>
          </w:r>
          <w:r>
            <w:rPr>
              <w:rFonts w:hint="eastAsia" w:ascii="楷体" w:hAnsi="楷体" w:eastAsia="楷体"/>
              <w:color w:val="auto"/>
              <w:szCs w:val="32"/>
              <w:highlight w:val="none"/>
            </w:rPr>
            <w:t>（二）专业与学历（位）的对应关系</w:t>
          </w:r>
          <w:r>
            <w:rPr>
              <w:color w:val="auto"/>
              <w:highlight w:val="none"/>
            </w:rPr>
            <w:tab/>
          </w:r>
          <w:r>
            <w:rPr>
              <w:color w:val="auto"/>
              <w:highlight w:val="none"/>
            </w:rPr>
            <w:fldChar w:fldCharType="begin"/>
          </w:r>
          <w:r>
            <w:rPr>
              <w:color w:val="auto"/>
              <w:highlight w:val="none"/>
            </w:rPr>
            <w:instrText xml:space="preserve"> PAGEREF _Toc16768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_Toc29668 </w:instrText>
          </w:r>
          <w:r>
            <w:rPr>
              <w:color w:val="auto"/>
              <w:highlight w:val="none"/>
            </w:rPr>
            <w:fldChar w:fldCharType="separate"/>
          </w:r>
          <w:r>
            <w:rPr>
              <w:rFonts w:hint="eastAsia" w:ascii="楷体" w:hAnsi="楷体" w:eastAsia="楷体"/>
              <w:color w:val="auto"/>
              <w:szCs w:val="32"/>
              <w:highlight w:val="none"/>
            </w:rPr>
            <w:t>（三）专业资格的</w:t>
          </w:r>
          <w:r>
            <w:rPr>
              <w:rFonts w:hint="eastAsia" w:ascii="楷体" w:hAnsi="楷体" w:eastAsia="楷体"/>
              <w:color w:val="auto"/>
              <w:szCs w:val="32"/>
              <w:highlight w:val="none"/>
              <w:lang w:eastAsia="zh-CN"/>
            </w:rPr>
            <w:t>认</w:t>
          </w:r>
          <w:r>
            <w:rPr>
              <w:rFonts w:hint="eastAsia" w:ascii="楷体" w:hAnsi="楷体" w:eastAsia="楷体"/>
              <w:color w:val="auto"/>
              <w:szCs w:val="32"/>
              <w:highlight w:val="none"/>
            </w:rPr>
            <w:t>定</w:t>
          </w:r>
          <w:r>
            <w:rPr>
              <w:color w:val="auto"/>
              <w:highlight w:val="none"/>
            </w:rPr>
            <w:tab/>
          </w:r>
          <w:r>
            <w:rPr>
              <w:color w:val="auto"/>
              <w:highlight w:val="none"/>
            </w:rPr>
            <w:fldChar w:fldCharType="begin"/>
          </w:r>
          <w:r>
            <w:rPr>
              <w:color w:val="auto"/>
              <w:highlight w:val="none"/>
            </w:rPr>
            <w:instrText xml:space="preserve"> PAGEREF _Toc29668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_Toc10032 </w:instrText>
          </w:r>
          <w:r>
            <w:rPr>
              <w:color w:val="auto"/>
              <w:highlight w:val="none"/>
            </w:rPr>
            <w:fldChar w:fldCharType="separate"/>
          </w:r>
          <w:r>
            <w:rPr>
              <w:rFonts w:hint="eastAsia" w:ascii="黑体" w:hAnsi="黑体" w:eastAsia="黑体" w:cs="黑体"/>
              <w:bCs/>
              <w:strike w:val="0"/>
              <w:dstrike w:val="0"/>
              <w:color w:val="auto"/>
              <w:szCs w:val="32"/>
              <w:highlight w:val="none"/>
            </w:rPr>
            <w:t xml:space="preserve">七、 </w:t>
          </w:r>
          <w:r>
            <w:rPr>
              <w:rFonts w:hint="eastAsia" w:ascii="黑体" w:hAnsi="黑体" w:eastAsia="黑体"/>
              <w:bCs/>
              <w:color w:val="auto"/>
              <w:szCs w:val="32"/>
              <w:highlight w:val="none"/>
            </w:rPr>
            <w:t>工作经历（验）</w:t>
          </w:r>
          <w:r>
            <w:rPr>
              <w:color w:val="auto"/>
              <w:highlight w:val="none"/>
            </w:rPr>
            <w:tab/>
          </w:r>
          <w:r>
            <w:rPr>
              <w:color w:val="auto"/>
              <w:highlight w:val="none"/>
            </w:rPr>
            <w:fldChar w:fldCharType="begin"/>
          </w:r>
          <w:r>
            <w:rPr>
              <w:color w:val="auto"/>
              <w:highlight w:val="none"/>
            </w:rPr>
            <w:instrText xml:space="preserve"> PAGEREF _Toc10032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_Toc25619 </w:instrText>
          </w:r>
          <w:r>
            <w:rPr>
              <w:color w:val="auto"/>
              <w:highlight w:val="none"/>
            </w:rPr>
            <w:fldChar w:fldCharType="separate"/>
          </w:r>
          <w:r>
            <w:rPr>
              <w:rFonts w:hint="eastAsia" w:ascii="黑体" w:hAnsi="黑体" w:eastAsia="黑体" w:cs="黑体"/>
              <w:bCs/>
              <w:strike w:val="0"/>
              <w:dstrike w:val="0"/>
              <w:color w:val="auto"/>
              <w:szCs w:val="32"/>
              <w:highlight w:val="none"/>
            </w:rPr>
            <w:t xml:space="preserve">八、 </w:t>
          </w:r>
          <w:r>
            <w:rPr>
              <w:rFonts w:hint="eastAsia" w:ascii="黑体" w:hAnsi="黑体" w:eastAsia="黑体"/>
              <w:bCs/>
              <w:color w:val="auto"/>
              <w:szCs w:val="32"/>
              <w:highlight w:val="none"/>
              <w:lang w:eastAsia="zh-CN"/>
            </w:rPr>
            <w:t>可免笔试情形</w:t>
          </w:r>
          <w:r>
            <w:rPr>
              <w:color w:val="auto"/>
              <w:highlight w:val="none"/>
            </w:rPr>
            <w:tab/>
          </w:r>
          <w:r>
            <w:rPr>
              <w:color w:val="auto"/>
              <w:highlight w:val="none"/>
            </w:rPr>
            <w:fldChar w:fldCharType="begin"/>
          </w:r>
          <w:r>
            <w:rPr>
              <w:color w:val="auto"/>
              <w:highlight w:val="none"/>
            </w:rPr>
            <w:instrText xml:space="preserve"> PAGEREF _Toc25619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_Toc18048 </w:instrText>
          </w:r>
          <w:r>
            <w:rPr>
              <w:color w:val="auto"/>
              <w:highlight w:val="none"/>
            </w:rPr>
            <w:fldChar w:fldCharType="separate"/>
          </w:r>
          <w:r>
            <w:rPr>
              <w:rFonts w:hint="eastAsia" w:ascii="黑体" w:hAnsi="黑体" w:eastAsia="黑体" w:cs="黑体"/>
              <w:bCs/>
              <w:strike w:val="0"/>
              <w:dstrike w:val="0"/>
              <w:color w:val="auto"/>
              <w:szCs w:val="32"/>
              <w:highlight w:val="none"/>
              <w:lang w:val="en-US" w:eastAsia="zh-CN"/>
            </w:rPr>
            <w:t xml:space="preserve">九、 </w:t>
          </w:r>
          <w:r>
            <w:rPr>
              <w:rFonts w:hint="eastAsia" w:ascii="黑体" w:hAnsi="黑体" w:eastAsia="黑体"/>
              <w:bCs/>
              <w:color w:val="auto"/>
              <w:szCs w:val="32"/>
              <w:highlight w:val="none"/>
              <w:lang w:eastAsia="zh-CN"/>
            </w:rPr>
            <w:t>岗位开考比例</w:t>
          </w:r>
          <w:r>
            <w:rPr>
              <w:color w:val="auto"/>
              <w:highlight w:val="none"/>
            </w:rPr>
            <w:tab/>
          </w:r>
          <w:r>
            <w:rPr>
              <w:color w:val="auto"/>
              <w:highlight w:val="none"/>
            </w:rPr>
            <w:fldChar w:fldCharType="begin"/>
          </w:r>
          <w:r>
            <w:rPr>
              <w:color w:val="auto"/>
              <w:highlight w:val="none"/>
            </w:rPr>
            <w:instrText xml:space="preserve"> PAGEREF _Toc18048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_Toc15271 </w:instrText>
          </w:r>
          <w:r>
            <w:rPr>
              <w:color w:val="auto"/>
              <w:highlight w:val="none"/>
            </w:rPr>
            <w:fldChar w:fldCharType="separate"/>
          </w:r>
          <w:r>
            <w:rPr>
              <w:rFonts w:hint="eastAsia" w:ascii="黑体" w:hAnsi="黑体" w:eastAsia="黑体" w:cs="黑体"/>
              <w:bCs/>
              <w:strike w:val="0"/>
              <w:dstrike w:val="0"/>
              <w:color w:val="auto"/>
              <w:szCs w:val="32"/>
              <w:highlight w:val="none"/>
            </w:rPr>
            <w:t xml:space="preserve">十、 </w:t>
          </w:r>
          <w:r>
            <w:rPr>
              <w:rFonts w:hint="eastAsia" w:ascii="黑体" w:hAnsi="黑体" w:eastAsia="黑体"/>
              <w:bCs/>
              <w:color w:val="auto"/>
              <w:szCs w:val="32"/>
              <w:highlight w:val="none"/>
            </w:rPr>
            <w:t>笔试加分</w:t>
          </w:r>
          <w:r>
            <w:rPr>
              <w:color w:val="auto"/>
              <w:highlight w:val="none"/>
            </w:rPr>
            <w:tab/>
          </w:r>
          <w:r>
            <w:rPr>
              <w:color w:val="auto"/>
              <w:highlight w:val="none"/>
            </w:rPr>
            <w:fldChar w:fldCharType="begin"/>
          </w:r>
          <w:r>
            <w:rPr>
              <w:color w:val="auto"/>
              <w:highlight w:val="none"/>
            </w:rPr>
            <w:instrText xml:space="preserve"> PAGEREF _Toc15271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_Toc4058 </w:instrText>
          </w:r>
          <w:r>
            <w:rPr>
              <w:color w:val="auto"/>
              <w:highlight w:val="none"/>
            </w:rPr>
            <w:fldChar w:fldCharType="separate"/>
          </w:r>
          <w:r>
            <w:rPr>
              <w:rFonts w:hint="eastAsia" w:ascii="楷体" w:hAnsi="楷体" w:eastAsia="楷体" w:cs="楷体"/>
              <w:bCs/>
              <w:color w:val="auto"/>
              <w:szCs w:val="32"/>
              <w:highlight w:val="none"/>
              <w:lang w:eastAsia="zh-CN"/>
            </w:rPr>
            <w:t>（一）加分原则</w:t>
          </w:r>
          <w:r>
            <w:rPr>
              <w:color w:val="auto"/>
              <w:highlight w:val="none"/>
            </w:rPr>
            <w:tab/>
          </w:r>
          <w:r>
            <w:rPr>
              <w:color w:val="auto"/>
              <w:highlight w:val="none"/>
            </w:rPr>
            <w:fldChar w:fldCharType="begin"/>
          </w:r>
          <w:r>
            <w:rPr>
              <w:color w:val="auto"/>
              <w:highlight w:val="none"/>
            </w:rPr>
            <w:instrText xml:space="preserve"> PAGEREF _Toc4058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_Toc7546 </w:instrText>
          </w:r>
          <w:r>
            <w:rPr>
              <w:color w:val="auto"/>
              <w:highlight w:val="none"/>
            </w:rPr>
            <w:fldChar w:fldCharType="separate"/>
          </w:r>
          <w:r>
            <w:rPr>
              <w:rFonts w:hint="eastAsia" w:ascii="楷体" w:hAnsi="楷体" w:eastAsia="楷体" w:cs="楷体"/>
              <w:bCs/>
              <w:color w:val="auto"/>
              <w:szCs w:val="32"/>
              <w:highlight w:val="none"/>
              <w:lang w:eastAsia="zh-CN"/>
            </w:rPr>
            <w:t>（二）加分对象</w:t>
          </w:r>
          <w:r>
            <w:rPr>
              <w:color w:val="auto"/>
              <w:highlight w:val="none"/>
            </w:rPr>
            <w:tab/>
          </w:r>
          <w:r>
            <w:rPr>
              <w:color w:val="auto"/>
              <w:highlight w:val="none"/>
            </w:rPr>
            <w:fldChar w:fldCharType="begin"/>
          </w:r>
          <w:r>
            <w:rPr>
              <w:color w:val="auto"/>
              <w:highlight w:val="none"/>
            </w:rPr>
            <w:instrText xml:space="preserve"> PAGEREF _Toc7546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3"/>
            <w:tabs>
              <w:tab w:val="right" w:leader="dot" w:pos="8306"/>
            </w:tabs>
            <w:rPr>
              <w:color w:val="auto"/>
              <w:highlight w:val="none"/>
            </w:rPr>
          </w:pPr>
          <w:r>
            <w:rPr>
              <w:color w:val="auto"/>
              <w:highlight w:val="none"/>
            </w:rPr>
            <w:fldChar w:fldCharType="begin"/>
          </w:r>
          <w:r>
            <w:rPr>
              <w:color w:val="auto"/>
              <w:highlight w:val="none"/>
            </w:rPr>
            <w:instrText xml:space="preserve"> HYPERLINK \l _Toc9822 </w:instrText>
          </w:r>
          <w:r>
            <w:rPr>
              <w:color w:val="auto"/>
              <w:highlight w:val="none"/>
            </w:rPr>
            <w:fldChar w:fldCharType="separate"/>
          </w:r>
          <w:r>
            <w:rPr>
              <w:rFonts w:hint="eastAsia" w:ascii="仿宋_GB2312" w:hAnsi="仿宋_GB2312" w:eastAsia="仿宋_GB2312" w:cs="仿宋_GB2312"/>
              <w:bCs/>
              <w:color w:val="auto"/>
              <w:szCs w:val="32"/>
              <w:highlight w:val="none"/>
              <w:lang w:val="en-US" w:eastAsia="zh-CN"/>
            </w:rPr>
            <w:t>1.</w:t>
          </w:r>
          <w:r>
            <w:rPr>
              <w:rFonts w:hint="eastAsia" w:ascii="仿宋_GB2312" w:hAnsi="仿宋_GB2312" w:eastAsia="仿宋_GB2312" w:cs="仿宋_GB2312"/>
              <w:bCs/>
              <w:color w:val="auto"/>
              <w:szCs w:val="32"/>
              <w:highlight w:val="none"/>
              <w:lang w:eastAsia="zh-CN"/>
            </w:rPr>
            <w:t>服务基层项目高校毕业人员</w:t>
          </w:r>
          <w:r>
            <w:rPr>
              <w:color w:val="auto"/>
              <w:highlight w:val="none"/>
            </w:rPr>
            <w:tab/>
          </w:r>
          <w:r>
            <w:rPr>
              <w:color w:val="auto"/>
              <w:highlight w:val="none"/>
            </w:rPr>
            <w:fldChar w:fldCharType="begin"/>
          </w:r>
          <w:r>
            <w:rPr>
              <w:color w:val="auto"/>
              <w:highlight w:val="none"/>
            </w:rPr>
            <w:instrText xml:space="preserve"> PAGEREF _Toc9822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3"/>
            <w:tabs>
              <w:tab w:val="right" w:leader="dot" w:pos="8306"/>
            </w:tabs>
            <w:rPr>
              <w:color w:val="auto"/>
              <w:highlight w:val="none"/>
            </w:rPr>
          </w:pPr>
          <w:r>
            <w:rPr>
              <w:color w:val="auto"/>
              <w:highlight w:val="none"/>
            </w:rPr>
            <w:fldChar w:fldCharType="begin"/>
          </w:r>
          <w:r>
            <w:rPr>
              <w:color w:val="auto"/>
              <w:highlight w:val="none"/>
            </w:rPr>
            <w:instrText xml:space="preserve"> HYPERLINK \l _Toc17686 </w:instrText>
          </w:r>
          <w:r>
            <w:rPr>
              <w:color w:val="auto"/>
              <w:highlight w:val="none"/>
            </w:rPr>
            <w:fldChar w:fldCharType="separate"/>
          </w:r>
          <w:r>
            <w:rPr>
              <w:rFonts w:hint="eastAsia" w:ascii="仿宋_GB2312" w:hAnsi="仿宋_GB2312" w:eastAsia="仿宋_GB2312" w:cs="仿宋_GB2312"/>
              <w:bCs/>
              <w:color w:val="auto"/>
              <w:szCs w:val="32"/>
              <w:highlight w:val="none"/>
              <w:lang w:val="en-US" w:eastAsia="zh-CN"/>
            </w:rPr>
            <w:t>2.退役士兵（含大学生退役士兵）</w:t>
          </w:r>
          <w:r>
            <w:rPr>
              <w:color w:val="auto"/>
              <w:highlight w:val="none"/>
            </w:rPr>
            <w:tab/>
          </w:r>
          <w:r>
            <w:rPr>
              <w:color w:val="auto"/>
              <w:highlight w:val="none"/>
            </w:rPr>
            <w:fldChar w:fldCharType="begin"/>
          </w:r>
          <w:r>
            <w:rPr>
              <w:color w:val="auto"/>
              <w:highlight w:val="none"/>
            </w:rPr>
            <w:instrText xml:space="preserve"> PAGEREF _Toc17686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3"/>
            <w:tabs>
              <w:tab w:val="right" w:leader="dot" w:pos="8306"/>
            </w:tabs>
            <w:rPr>
              <w:color w:val="auto"/>
              <w:highlight w:val="none"/>
            </w:rPr>
          </w:pPr>
          <w:r>
            <w:rPr>
              <w:color w:val="auto"/>
              <w:highlight w:val="none"/>
            </w:rPr>
            <w:fldChar w:fldCharType="begin"/>
          </w:r>
          <w:r>
            <w:rPr>
              <w:color w:val="auto"/>
              <w:highlight w:val="none"/>
            </w:rPr>
            <w:instrText xml:space="preserve"> HYPERLINK \l _Toc4274 </w:instrText>
          </w:r>
          <w:r>
            <w:rPr>
              <w:color w:val="auto"/>
              <w:highlight w:val="none"/>
            </w:rPr>
            <w:fldChar w:fldCharType="separate"/>
          </w:r>
          <w:r>
            <w:rPr>
              <w:rFonts w:hint="eastAsia" w:ascii="仿宋_GB2312" w:hAnsi="仿宋_GB2312" w:eastAsia="仿宋_GB2312" w:cs="仿宋_GB2312"/>
              <w:bCs/>
              <w:color w:val="auto"/>
              <w:szCs w:val="32"/>
              <w:highlight w:val="none"/>
              <w:lang w:val="en-US" w:eastAsia="zh-CN"/>
            </w:rPr>
            <w:t>3.退役优秀运动员</w:t>
          </w:r>
          <w:r>
            <w:rPr>
              <w:color w:val="auto"/>
              <w:highlight w:val="none"/>
            </w:rPr>
            <w:tab/>
          </w:r>
          <w:r>
            <w:rPr>
              <w:color w:val="auto"/>
              <w:highlight w:val="none"/>
            </w:rPr>
            <w:fldChar w:fldCharType="begin"/>
          </w:r>
          <w:r>
            <w:rPr>
              <w:color w:val="auto"/>
              <w:highlight w:val="none"/>
            </w:rPr>
            <w:instrText xml:space="preserve"> PAGEREF _Toc4274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_Toc31427 </w:instrText>
          </w:r>
          <w:r>
            <w:rPr>
              <w:color w:val="auto"/>
              <w:highlight w:val="none"/>
            </w:rPr>
            <w:fldChar w:fldCharType="separate"/>
          </w:r>
          <w:r>
            <w:rPr>
              <w:rFonts w:hint="eastAsia" w:ascii="楷体" w:hAnsi="楷体" w:eastAsia="楷体" w:cs="楷体"/>
              <w:bCs/>
              <w:color w:val="auto"/>
              <w:szCs w:val="32"/>
              <w:highlight w:val="none"/>
              <w:lang w:eastAsia="zh-CN"/>
            </w:rPr>
            <w:t>（三）加分证明材料</w:t>
          </w:r>
          <w:r>
            <w:rPr>
              <w:color w:val="auto"/>
              <w:highlight w:val="none"/>
            </w:rPr>
            <w:tab/>
          </w:r>
          <w:r>
            <w:rPr>
              <w:color w:val="auto"/>
              <w:highlight w:val="none"/>
            </w:rPr>
            <w:fldChar w:fldCharType="begin"/>
          </w:r>
          <w:r>
            <w:rPr>
              <w:color w:val="auto"/>
              <w:highlight w:val="none"/>
            </w:rPr>
            <w:instrText xml:space="preserve"> PAGEREF _Toc31427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_Toc18766 </w:instrText>
          </w:r>
          <w:r>
            <w:rPr>
              <w:color w:val="auto"/>
              <w:highlight w:val="none"/>
            </w:rPr>
            <w:fldChar w:fldCharType="separate"/>
          </w:r>
          <w:r>
            <w:rPr>
              <w:rFonts w:hint="eastAsia" w:ascii="黑体" w:hAnsi="黑体" w:eastAsia="黑体" w:cs="黑体"/>
              <w:bCs/>
              <w:strike w:val="0"/>
              <w:dstrike w:val="0"/>
              <w:color w:val="auto"/>
              <w:szCs w:val="32"/>
              <w:highlight w:val="none"/>
            </w:rPr>
            <w:t xml:space="preserve">十一、 </w:t>
          </w:r>
          <w:r>
            <w:rPr>
              <w:rFonts w:hint="eastAsia" w:ascii="黑体" w:hAnsi="黑体" w:eastAsia="黑体"/>
              <w:bCs/>
              <w:color w:val="auto"/>
              <w:szCs w:val="32"/>
              <w:highlight w:val="none"/>
            </w:rPr>
            <w:t>综合总分计算</w:t>
          </w:r>
          <w:r>
            <w:rPr>
              <w:color w:val="auto"/>
              <w:highlight w:val="none"/>
            </w:rPr>
            <w:tab/>
          </w:r>
          <w:r>
            <w:rPr>
              <w:color w:val="auto"/>
              <w:highlight w:val="none"/>
            </w:rPr>
            <w:fldChar w:fldCharType="begin"/>
          </w:r>
          <w:r>
            <w:rPr>
              <w:color w:val="auto"/>
              <w:highlight w:val="none"/>
            </w:rPr>
            <w:instrText xml:space="preserve"> PAGEREF _Toc18766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_Toc7460 </w:instrText>
          </w:r>
          <w:r>
            <w:rPr>
              <w:color w:val="auto"/>
              <w:highlight w:val="none"/>
            </w:rPr>
            <w:fldChar w:fldCharType="separate"/>
          </w:r>
          <w:r>
            <w:rPr>
              <w:rFonts w:hint="eastAsia" w:ascii="黑体" w:hAnsi="黑体" w:eastAsia="黑体" w:cs="黑体"/>
              <w:bCs/>
              <w:strike w:val="0"/>
              <w:dstrike w:val="0"/>
              <w:color w:val="auto"/>
              <w:szCs w:val="32"/>
              <w:highlight w:val="none"/>
            </w:rPr>
            <w:t xml:space="preserve">十二、 </w:t>
          </w:r>
          <w:r>
            <w:rPr>
              <w:rFonts w:hint="eastAsia" w:ascii="黑体" w:hAnsi="黑体" w:eastAsia="黑体"/>
              <w:bCs/>
              <w:color w:val="auto"/>
              <w:szCs w:val="32"/>
              <w:highlight w:val="none"/>
            </w:rPr>
            <w:t>体检和考察</w:t>
          </w:r>
          <w:r>
            <w:rPr>
              <w:color w:val="auto"/>
              <w:highlight w:val="none"/>
            </w:rPr>
            <w:tab/>
          </w:r>
          <w:r>
            <w:rPr>
              <w:color w:val="auto"/>
              <w:highlight w:val="none"/>
            </w:rPr>
            <w:fldChar w:fldCharType="begin"/>
          </w:r>
          <w:r>
            <w:rPr>
              <w:color w:val="auto"/>
              <w:highlight w:val="none"/>
            </w:rPr>
            <w:instrText xml:space="preserve"> PAGEREF _Toc7460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_Toc29230 </w:instrText>
          </w:r>
          <w:r>
            <w:rPr>
              <w:color w:val="auto"/>
              <w:highlight w:val="none"/>
            </w:rPr>
            <w:fldChar w:fldCharType="separate"/>
          </w:r>
          <w:r>
            <w:rPr>
              <w:rFonts w:hint="eastAsia" w:ascii="楷体" w:hAnsi="楷体" w:eastAsia="楷体"/>
              <w:color w:val="auto"/>
              <w:szCs w:val="32"/>
              <w:highlight w:val="none"/>
            </w:rPr>
            <w:t>（一）确定体检人选</w:t>
          </w:r>
          <w:r>
            <w:rPr>
              <w:color w:val="auto"/>
              <w:highlight w:val="none"/>
            </w:rPr>
            <w:tab/>
          </w:r>
          <w:r>
            <w:rPr>
              <w:color w:val="auto"/>
              <w:highlight w:val="none"/>
            </w:rPr>
            <w:fldChar w:fldCharType="begin"/>
          </w:r>
          <w:r>
            <w:rPr>
              <w:color w:val="auto"/>
              <w:highlight w:val="none"/>
            </w:rPr>
            <w:instrText xml:space="preserve"> PAGEREF _Toc29230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_Toc5279 </w:instrText>
          </w:r>
          <w:r>
            <w:rPr>
              <w:color w:val="auto"/>
              <w:highlight w:val="none"/>
            </w:rPr>
            <w:fldChar w:fldCharType="separate"/>
          </w:r>
          <w:r>
            <w:rPr>
              <w:rFonts w:hint="eastAsia" w:ascii="楷体" w:hAnsi="楷体" w:eastAsia="楷体"/>
              <w:color w:val="auto"/>
              <w:szCs w:val="32"/>
              <w:highlight w:val="none"/>
            </w:rPr>
            <w:t>（二）组织体检</w:t>
          </w:r>
          <w:r>
            <w:rPr>
              <w:color w:val="auto"/>
              <w:highlight w:val="none"/>
            </w:rPr>
            <w:tab/>
          </w:r>
          <w:r>
            <w:rPr>
              <w:color w:val="auto"/>
              <w:highlight w:val="none"/>
            </w:rPr>
            <w:fldChar w:fldCharType="begin"/>
          </w:r>
          <w:r>
            <w:rPr>
              <w:color w:val="auto"/>
              <w:highlight w:val="none"/>
            </w:rPr>
            <w:instrText xml:space="preserve"> PAGEREF _Toc5279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_Toc20240 </w:instrText>
          </w:r>
          <w:r>
            <w:rPr>
              <w:color w:val="auto"/>
              <w:highlight w:val="none"/>
            </w:rPr>
            <w:fldChar w:fldCharType="separate"/>
          </w:r>
          <w:r>
            <w:rPr>
              <w:rFonts w:hint="eastAsia" w:ascii="楷体" w:hAnsi="楷体" w:eastAsia="楷体"/>
              <w:color w:val="auto"/>
              <w:szCs w:val="32"/>
              <w:highlight w:val="none"/>
            </w:rPr>
            <w:t>（三）体检依据</w:t>
          </w:r>
          <w:r>
            <w:rPr>
              <w:color w:val="auto"/>
              <w:highlight w:val="none"/>
            </w:rPr>
            <w:tab/>
          </w:r>
          <w:r>
            <w:rPr>
              <w:color w:val="auto"/>
              <w:highlight w:val="none"/>
            </w:rPr>
            <w:fldChar w:fldCharType="begin"/>
          </w:r>
          <w:r>
            <w:rPr>
              <w:color w:val="auto"/>
              <w:highlight w:val="none"/>
            </w:rPr>
            <w:instrText xml:space="preserve"> PAGEREF _Toc20240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_Toc26403 </w:instrText>
          </w:r>
          <w:r>
            <w:rPr>
              <w:color w:val="auto"/>
              <w:highlight w:val="none"/>
            </w:rPr>
            <w:fldChar w:fldCharType="separate"/>
          </w:r>
          <w:r>
            <w:rPr>
              <w:rFonts w:hint="eastAsia" w:ascii="楷体" w:hAnsi="楷体" w:eastAsia="楷体"/>
              <w:color w:val="auto"/>
              <w:szCs w:val="32"/>
              <w:highlight w:val="none"/>
            </w:rPr>
            <w:t>（四）体检复检</w:t>
          </w:r>
          <w:r>
            <w:rPr>
              <w:color w:val="auto"/>
              <w:highlight w:val="none"/>
            </w:rPr>
            <w:tab/>
          </w:r>
          <w:r>
            <w:rPr>
              <w:color w:val="auto"/>
              <w:highlight w:val="none"/>
            </w:rPr>
            <w:fldChar w:fldCharType="begin"/>
          </w:r>
          <w:r>
            <w:rPr>
              <w:color w:val="auto"/>
              <w:highlight w:val="none"/>
            </w:rPr>
            <w:instrText xml:space="preserve"> PAGEREF _Toc26403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_Toc680 </w:instrText>
          </w:r>
          <w:r>
            <w:rPr>
              <w:color w:val="auto"/>
              <w:highlight w:val="none"/>
            </w:rPr>
            <w:fldChar w:fldCharType="separate"/>
          </w:r>
          <w:r>
            <w:rPr>
              <w:rFonts w:hint="eastAsia" w:ascii="楷体" w:hAnsi="楷体" w:eastAsia="楷体"/>
              <w:color w:val="auto"/>
              <w:szCs w:val="32"/>
              <w:highlight w:val="none"/>
            </w:rPr>
            <w:t>（五）</w:t>
          </w:r>
          <w:r>
            <w:rPr>
              <w:rFonts w:hint="eastAsia" w:ascii="楷体" w:hAnsi="楷体" w:eastAsia="楷体"/>
              <w:color w:val="auto"/>
              <w:szCs w:val="32"/>
              <w:highlight w:val="none"/>
              <w:lang w:eastAsia="zh-CN"/>
            </w:rPr>
            <w:t>可延迟</w:t>
          </w:r>
          <w:r>
            <w:rPr>
              <w:rFonts w:hint="eastAsia" w:ascii="楷体" w:hAnsi="楷体" w:eastAsia="楷体"/>
              <w:color w:val="auto"/>
              <w:szCs w:val="32"/>
              <w:highlight w:val="none"/>
            </w:rPr>
            <w:t>体检</w:t>
          </w:r>
          <w:r>
            <w:rPr>
              <w:rFonts w:hint="eastAsia" w:ascii="楷体" w:hAnsi="楷体" w:eastAsia="楷体"/>
              <w:color w:val="auto"/>
              <w:szCs w:val="32"/>
              <w:highlight w:val="none"/>
              <w:lang w:eastAsia="zh-CN"/>
            </w:rPr>
            <w:t>的情形</w:t>
          </w:r>
          <w:r>
            <w:rPr>
              <w:color w:val="auto"/>
              <w:highlight w:val="none"/>
            </w:rPr>
            <w:tab/>
          </w:r>
          <w:r>
            <w:rPr>
              <w:color w:val="auto"/>
              <w:highlight w:val="none"/>
            </w:rPr>
            <w:fldChar w:fldCharType="begin"/>
          </w:r>
          <w:r>
            <w:rPr>
              <w:color w:val="auto"/>
              <w:highlight w:val="none"/>
            </w:rPr>
            <w:instrText xml:space="preserve"> PAGEREF _Toc680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_Toc11889 </w:instrText>
          </w:r>
          <w:r>
            <w:rPr>
              <w:color w:val="auto"/>
              <w:highlight w:val="none"/>
            </w:rPr>
            <w:fldChar w:fldCharType="separate"/>
          </w:r>
          <w:r>
            <w:rPr>
              <w:rFonts w:hint="eastAsia" w:ascii="楷体" w:hAnsi="楷体" w:eastAsia="楷体"/>
              <w:color w:val="auto"/>
              <w:szCs w:val="32"/>
              <w:highlight w:val="none"/>
            </w:rPr>
            <w:t>（六）考察</w:t>
          </w:r>
          <w:r>
            <w:rPr>
              <w:color w:val="auto"/>
              <w:highlight w:val="none"/>
            </w:rPr>
            <w:tab/>
          </w:r>
          <w:r>
            <w:rPr>
              <w:color w:val="auto"/>
              <w:highlight w:val="none"/>
            </w:rPr>
            <w:fldChar w:fldCharType="begin"/>
          </w:r>
          <w:r>
            <w:rPr>
              <w:color w:val="auto"/>
              <w:highlight w:val="none"/>
            </w:rPr>
            <w:instrText xml:space="preserve"> PAGEREF _Toc11889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_Toc3639 </w:instrText>
          </w:r>
          <w:r>
            <w:rPr>
              <w:color w:val="auto"/>
              <w:highlight w:val="none"/>
            </w:rPr>
            <w:fldChar w:fldCharType="separate"/>
          </w:r>
          <w:r>
            <w:rPr>
              <w:rFonts w:hint="eastAsia" w:ascii="黑体" w:hAnsi="黑体" w:eastAsia="黑体" w:cs="黑体"/>
              <w:bCs/>
              <w:strike w:val="0"/>
              <w:dstrike w:val="0"/>
              <w:color w:val="auto"/>
              <w:szCs w:val="32"/>
              <w:highlight w:val="none"/>
            </w:rPr>
            <w:t xml:space="preserve">十三、 </w:t>
          </w:r>
          <w:r>
            <w:rPr>
              <w:rFonts w:hint="eastAsia" w:ascii="黑体" w:hAnsi="黑体" w:eastAsia="黑体"/>
              <w:bCs/>
              <w:color w:val="auto"/>
              <w:szCs w:val="32"/>
              <w:highlight w:val="none"/>
            </w:rPr>
            <w:t>公示</w:t>
          </w:r>
          <w:r>
            <w:rPr>
              <w:color w:val="auto"/>
              <w:highlight w:val="none"/>
            </w:rPr>
            <w:tab/>
          </w:r>
          <w:r>
            <w:rPr>
              <w:color w:val="auto"/>
              <w:highlight w:val="none"/>
            </w:rPr>
            <w:fldChar w:fldCharType="begin"/>
          </w:r>
          <w:r>
            <w:rPr>
              <w:color w:val="auto"/>
              <w:highlight w:val="none"/>
            </w:rPr>
            <w:instrText xml:space="preserve"> PAGEREF _Toc3639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_Toc20995 </w:instrText>
          </w:r>
          <w:r>
            <w:rPr>
              <w:color w:val="auto"/>
              <w:highlight w:val="none"/>
            </w:rPr>
            <w:fldChar w:fldCharType="separate"/>
          </w:r>
          <w:r>
            <w:rPr>
              <w:rFonts w:hint="eastAsia" w:ascii="黑体" w:hAnsi="黑体" w:eastAsia="黑体" w:cs="黑体"/>
              <w:bCs/>
              <w:strike w:val="0"/>
              <w:dstrike w:val="0"/>
              <w:color w:val="auto"/>
              <w:szCs w:val="32"/>
              <w:highlight w:val="none"/>
            </w:rPr>
            <w:t xml:space="preserve">十四、 </w:t>
          </w:r>
          <w:r>
            <w:rPr>
              <w:rFonts w:hint="eastAsia" w:ascii="黑体" w:hAnsi="黑体" w:eastAsia="黑体"/>
              <w:bCs/>
              <w:color w:val="auto"/>
              <w:szCs w:val="32"/>
              <w:highlight w:val="none"/>
            </w:rPr>
            <w:t>聘用</w:t>
          </w:r>
          <w:r>
            <w:rPr>
              <w:rFonts w:hint="eastAsia" w:ascii="黑体" w:hAnsi="黑体" w:eastAsia="黑体"/>
              <w:bCs/>
              <w:color w:val="auto"/>
              <w:szCs w:val="32"/>
              <w:highlight w:val="none"/>
              <w:lang w:eastAsia="zh-CN"/>
            </w:rPr>
            <w:t>办理</w:t>
          </w:r>
          <w:r>
            <w:rPr>
              <w:color w:val="auto"/>
              <w:highlight w:val="none"/>
            </w:rPr>
            <w:tab/>
          </w:r>
          <w:r>
            <w:rPr>
              <w:color w:val="auto"/>
              <w:highlight w:val="none"/>
            </w:rPr>
            <w:fldChar w:fldCharType="begin"/>
          </w:r>
          <w:r>
            <w:rPr>
              <w:color w:val="auto"/>
              <w:highlight w:val="none"/>
            </w:rPr>
            <w:instrText xml:space="preserve"> PAGEREF _Toc20995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_Toc7796 </w:instrText>
          </w:r>
          <w:r>
            <w:rPr>
              <w:color w:val="auto"/>
              <w:highlight w:val="none"/>
            </w:rPr>
            <w:fldChar w:fldCharType="separate"/>
          </w:r>
          <w:r>
            <w:rPr>
              <w:rFonts w:hint="eastAsia" w:ascii="楷体" w:hAnsi="楷体" w:eastAsia="楷体"/>
              <w:color w:val="auto"/>
              <w:szCs w:val="32"/>
              <w:highlight w:val="none"/>
            </w:rPr>
            <w:t>（一）聘用手续办理</w:t>
          </w:r>
          <w:r>
            <w:rPr>
              <w:color w:val="auto"/>
              <w:highlight w:val="none"/>
            </w:rPr>
            <w:tab/>
          </w:r>
          <w:r>
            <w:rPr>
              <w:color w:val="auto"/>
              <w:highlight w:val="none"/>
            </w:rPr>
            <w:fldChar w:fldCharType="begin"/>
          </w:r>
          <w:r>
            <w:rPr>
              <w:color w:val="auto"/>
              <w:highlight w:val="none"/>
            </w:rPr>
            <w:instrText xml:space="preserve"> PAGEREF _Toc7796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_Toc28180 </w:instrText>
          </w:r>
          <w:r>
            <w:rPr>
              <w:color w:val="auto"/>
              <w:highlight w:val="none"/>
            </w:rPr>
            <w:fldChar w:fldCharType="separate"/>
          </w:r>
          <w:r>
            <w:rPr>
              <w:rFonts w:hint="eastAsia" w:ascii="楷体" w:hAnsi="楷体" w:eastAsia="楷体"/>
              <w:color w:val="auto"/>
              <w:szCs w:val="32"/>
              <w:highlight w:val="none"/>
            </w:rPr>
            <w:t>（二）岗位聘任</w:t>
          </w:r>
          <w:r>
            <w:rPr>
              <w:color w:val="auto"/>
              <w:highlight w:val="none"/>
            </w:rPr>
            <w:tab/>
          </w:r>
          <w:r>
            <w:rPr>
              <w:color w:val="auto"/>
              <w:highlight w:val="none"/>
            </w:rPr>
            <w:fldChar w:fldCharType="begin"/>
          </w:r>
          <w:r>
            <w:rPr>
              <w:color w:val="auto"/>
              <w:highlight w:val="none"/>
            </w:rPr>
            <w:instrText xml:space="preserve"> PAGEREF _Toc28180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_Toc11019 </w:instrText>
          </w:r>
          <w:r>
            <w:rPr>
              <w:color w:val="auto"/>
              <w:highlight w:val="none"/>
            </w:rPr>
            <w:fldChar w:fldCharType="separate"/>
          </w:r>
          <w:r>
            <w:rPr>
              <w:rFonts w:hint="eastAsia" w:ascii="黑体" w:hAnsi="黑体" w:eastAsia="黑体" w:cs="黑体"/>
              <w:bCs w:val="0"/>
              <w:strike w:val="0"/>
              <w:dstrike w:val="0"/>
              <w:color w:val="auto"/>
              <w:szCs w:val="32"/>
              <w:highlight w:val="none"/>
            </w:rPr>
            <w:t xml:space="preserve">十五、 </w:t>
          </w:r>
          <w:r>
            <w:rPr>
              <w:rFonts w:hint="eastAsia" w:ascii="黑体" w:hAnsi="黑体" w:eastAsia="黑体"/>
              <w:bCs/>
              <w:color w:val="auto"/>
              <w:szCs w:val="32"/>
              <w:highlight w:val="none"/>
            </w:rPr>
            <w:t>其他</w:t>
          </w:r>
          <w:r>
            <w:rPr>
              <w:rFonts w:hint="eastAsia" w:ascii="黑体" w:hAnsi="黑体" w:eastAsia="黑体"/>
              <w:bCs/>
              <w:color w:val="auto"/>
              <w:szCs w:val="32"/>
              <w:highlight w:val="none"/>
              <w:lang w:eastAsia="zh-CN"/>
            </w:rPr>
            <w:t>需说明</w:t>
          </w:r>
          <w:r>
            <w:rPr>
              <w:rFonts w:hint="eastAsia" w:ascii="黑体" w:hAnsi="黑体" w:eastAsia="黑体"/>
              <w:bCs/>
              <w:color w:val="auto"/>
              <w:szCs w:val="32"/>
              <w:highlight w:val="none"/>
            </w:rPr>
            <w:t>事项</w:t>
          </w:r>
          <w:r>
            <w:rPr>
              <w:color w:val="auto"/>
              <w:highlight w:val="none"/>
            </w:rPr>
            <w:tab/>
          </w:r>
          <w:r>
            <w:rPr>
              <w:color w:val="auto"/>
              <w:highlight w:val="none"/>
            </w:rPr>
            <w:fldChar w:fldCharType="begin"/>
          </w:r>
          <w:r>
            <w:rPr>
              <w:color w:val="auto"/>
              <w:highlight w:val="none"/>
            </w:rPr>
            <w:instrText xml:space="preserve"> PAGEREF _Toc11019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_Toc20625 </w:instrText>
          </w:r>
          <w:r>
            <w:rPr>
              <w:color w:val="auto"/>
              <w:highlight w:val="none"/>
            </w:rPr>
            <w:fldChar w:fldCharType="separate"/>
          </w:r>
          <w:r>
            <w:rPr>
              <w:rFonts w:hint="eastAsia" w:ascii="仿宋_GB2312" w:eastAsia="仿宋_GB2312"/>
              <w:bCs w:val="0"/>
              <w:strike w:val="0"/>
              <w:dstrike w:val="0"/>
              <w:color w:val="auto"/>
              <w:szCs w:val="32"/>
              <w:highlight w:val="none"/>
            </w:rPr>
            <w:t xml:space="preserve">（一） </w:t>
          </w:r>
          <w:r>
            <w:rPr>
              <w:rFonts w:hint="eastAsia" w:ascii="楷体" w:hAnsi="楷体" w:eastAsia="楷体"/>
              <w:bCs w:val="0"/>
              <w:strike w:val="0"/>
              <w:dstrike w:val="0"/>
              <w:color w:val="auto"/>
              <w:szCs w:val="32"/>
              <w:highlight w:val="none"/>
              <w:lang w:eastAsia="zh-CN"/>
            </w:rPr>
            <w:t>全日制普通教育学历</w:t>
          </w:r>
          <w:r>
            <w:rPr>
              <w:color w:val="auto"/>
              <w:highlight w:val="none"/>
            </w:rPr>
            <w:tab/>
          </w:r>
          <w:r>
            <w:rPr>
              <w:color w:val="auto"/>
              <w:highlight w:val="none"/>
            </w:rPr>
            <w:fldChar w:fldCharType="begin"/>
          </w:r>
          <w:r>
            <w:rPr>
              <w:color w:val="auto"/>
              <w:highlight w:val="none"/>
            </w:rPr>
            <w:instrText xml:space="preserve"> PAGEREF _Toc20625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_Toc27375 </w:instrText>
          </w:r>
          <w:r>
            <w:rPr>
              <w:color w:val="auto"/>
              <w:highlight w:val="none"/>
            </w:rPr>
            <w:fldChar w:fldCharType="separate"/>
          </w:r>
          <w:r>
            <w:rPr>
              <w:rFonts w:hint="eastAsia" w:ascii="楷体" w:hAnsi="楷体" w:eastAsia="楷体"/>
              <w:bCs w:val="0"/>
              <w:strike w:val="0"/>
              <w:dstrike w:val="0"/>
              <w:color w:val="auto"/>
              <w:szCs w:val="32"/>
              <w:highlight w:val="none"/>
              <w:lang w:eastAsia="zh-CN"/>
            </w:rPr>
            <w:t>（二） 中共党员</w:t>
          </w:r>
          <w:r>
            <w:rPr>
              <w:color w:val="auto"/>
              <w:highlight w:val="none"/>
            </w:rPr>
            <w:tab/>
          </w:r>
          <w:r>
            <w:rPr>
              <w:color w:val="auto"/>
              <w:highlight w:val="none"/>
            </w:rPr>
            <w:fldChar w:fldCharType="begin"/>
          </w:r>
          <w:r>
            <w:rPr>
              <w:color w:val="auto"/>
              <w:highlight w:val="none"/>
            </w:rPr>
            <w:instrText xml:space="preserve"> PAGEREF _Toc27375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_Toc23154 </w:instrText>
          </w:r>
          <w:r>
            <w:rPr>
              <w:color w:val="auto"/>
              <w:highlight w:val="none"/>
            </w:rPr>
            <w:fldChar w:fldCharType="separate"/>
          </w:r>
          <w:r>
            <w:rPr>
              <w:rFonts w:hint="eastAsia" w:ascii="仿宋_GB2312" w:eastAsia="仿宋_GB2312"/>
              <w:bCs w:val="0"/>
              <w:strike w:val="0"/>
              <w:dstrike w:val="0"/>
              <w:color w:val="auto"/>
              <w:szCs w:val="32"/>
              <w:highlight w:val="none"/>
            </w:rPr>
            <w:t xml:space="preserve">（三） </w:t>
          </w:r>
          <w:r>
            <w:rPr>
              <w:rFonts w:hint="eastAsia" w:ascii="楷体" w:hAnsi="楷体" w:eastAsia="楷体"/>
              <w:bCs w:val="0"/>
              <w:strike w:val="0"/>
              <w:dstrike w:val="0"/>
              <w:color w:val="auto"/>
              <w:szCs w:val="32"/>
              <w:highlight w:val="none"/>
            </w:rPr>
            <w:t>职称</w:t>
          </w:r>
          <w:r>
            <w:rPr>
              <w:color w:val="auto"/>
              <w:highlight w:val="none"/>
            </w:rPr>
            <w:tab/>
          </w:r>
          <w:r>
            <w:rPr>
              <w:color w:val="auto"/>
              <w:highlight w:val="none"/>
            </w:rPr>
            <w:fldChar w:fldCharType="begin"/>
          </w:r>
          <w:r>
            <w:rPr>
              <w:color w:val="auto"/>
              <w:highlight w:val="none"/>
            </w:rPr>
            <w:instrText xml:space="preserve"> PAGEREF _Toc23154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_Toc29122 </w:instrText>
          </w:r>
          <w:r>
            <w:rPr>
              <w:color w:val="auto"/>
              <w:highlight w:val="none"/>
            </w:rPr>
            <w:fldChar w:fldCharType="separate"/>
          </w:r>
          <w:r>
            <w:rPr>
              <w:rFonts w:hint="eastAsia" w:ascii="仿宋_GB2312" w:eastAsia="仿宋_GB2312"/>
              <w:bCs w:val="0"/>
              <w:strike w:val="0"/>
              <w:dstrike w:val="0"/>
              <w:color w:val="auto"/>
              <w:szCs w:val="32"/>
              <w:highlight w:val="none"/>
            </w:rPr>
            <w:t xml:space="preserve">（四） </w:t>
          </w:r>
          <w:r>
            <w:rPr>
              <w:rFonts w:hint="eastAsia" w:ascii="楷体" w:hAnsi="楷体" w:eastAsia="楷体"/>
              <w:bCs w:val="0"/>
              <w:color w:val="auto"/>
              <w:szCs w:val="32"/>
              <w:highlight w:val="none"/>
            </w:rPr>
            <w:t>生源</w:t>
          </w:r>
          <w:r>
            <w:rPr>
              <w:color w:val="auto"/>
              <w:highlight w:val="none"/>
            </w:rPr>
            <w:tab/>
          </w:r>
          <w:r>
            <w:rPr>
              <w:color w:val="auto"/>
              <w:highlight w:val="none"/>
            </w:rPr>
            <w:fldChar w:fldCharType="begin"/>
          </w:r>
          <w:r>
            <w:rPr>
              <w:color w:val="auto"/>
              <w:highlight w:val="none"/>
            </w:rPr>
            <w:instrText xml:space="preserve"> PAGEREF _Toc29122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_Toc21812 </w:instrText>
          </w:r>
          <w:r>
            <w:rPr>
              <w:color w:val="auto"/>
              <w:highlight w:val="none"/>
            </w:rPr>
            <w:fldChar w:fldCharType="separate"/>
          </w:r>
          <w:r>
            <w:rPr>
              <w:rFonts w:hint="eastAsia" w:ascii="仿宋_GB2312" w:eastAsia="仿宋_GB2312"/>
              <w:bCs w:val="0"/>
              <w:strike w:val="0"/>
              <w:dstrike w:val="0"/>
              <w:color w:val="auto"/>
              <w:szCs w:val="32"/>
              <w:highlight w:val="none"/>
            </w:rPr>
            <w:t xml:space="preserve">（五） </w:t>
          </w:r>
          <w:r>
            <w:rPr>
              <w:rFonts w:hint="eastAsia" w:ascii="楷体" w:hAnsi="楷体" w:eastAsia="楷体"/>
              <w:bCs w:val="0"/>
              <w:color w:val="auto"/>
              <w:szCs w:val="32"/>
              <w:highlight w:val="none"/>
            </w:rPr>
            <w:t>港澳台人员</w:t>
          </w:r>
          <w:r>
            <w:rPr>
              <w:color w:val="auto"/>
              <w:highlight w:val="none"/>
            </w:rPr>
            <w:tab/>
          </w:r>
          <w:r>
            <w:rPr>
              <w:color w:val="auto"/>
              <w:highlight w:val="none"/>
            </w:rPr>
            <w:fldChar w:fldCharType="begin"/>
          </w:r>
          <w:r>
            <w:rPr>
              <w:color w:val="auto"/>
              <w:highlight w:val="none"/>
            </w:rPr>
            <w:instrText xml:space="preserve"> PAGEREF _Toc21812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_Toc24040 </w:instrText>
          </w:r>
          <w:r>
            <w:rPr>
              <w:color w:val="auto"/>
              <w:highlight w:val="none"/>
            </w:rPr>
            <w:fldChar w:fldCharType="separate"/>
          </w:r>
          <w:r>
            <w:rPr>
              <w:rFonts w:hint="eastAsia" w:ascii="楷体" w:hAnsi="楷体" w:eastAsia="楷体"/>
              <w:bCs w:val="0"/>
              <w:strike w:val="0"/>
              <w:dstrike w:val="0"/>
              <w:color w:val="auto"/>
              <w:szCs w:val="32"/>
              <w:highlight w:val="none"/>
            </w:rPr>
            <w:t xml:space="preserve">（六） </w:t>
          </w:r>
          <w:r>
            <w:rPr>
              <w:rFonts w:hint="eastAsia" w:ascii="楷体" w:hAnsi="楷体" w:eastAsia="楷体"/>
              <w:bCs w:val="0"/>
              <w:color w:val="auto"/>
              <w:szCs w:val="32"/>
              <w:highlight w:val="none"/>
            </w:rPr>
            <w:t>技工院校毕业生</w:t>
          </w:r>
          <w:r>
            <w:rPr>
              <w:color w:val="auto"/>
              <w:highlight w:val="none"/>
            </w:rPr>
            <w:tab/>
          </w:r>
          <w:r>
            <w:rPr>
              <w:color w:val="auto"/>
              <w:highlight w:val="none"/>
            </w:rPr>
            <w:fldChar w:fldCharType="begin"/>
          </w:r>
          <w:r>
            <w:rPr>
              <w:color w:val="auto"/>
              <w:highlight w:val="none"/>
            </w:rPr>
            <w:instrText xml:space="preserve"> PAGEREF _Toc24040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_Toc23840 </w:instrText>
          </w:r>
          <w:r>
            <w:rPr>
              <w:color w:val="auto"/>
              <w:highlight w:val="none"/>
            </w:rPr>
            <w:fldChar w:fldCharType="separate"/>
          </w:r>
          <w:r>
            <w:rPr>
              <w:rFonts w:hint="eastAsia" w:ascii="楷体" w:hAnsi="楷体" w:eastAsia="楷体"/>
              <w:bCs w:val="0"/>
              <w:strike w:val="0"/>
              <w:dstrike w:val="0"/>
              <w:color w:val="auto"/>
              <w:szCs w:val="32"/>
              <w:highlight w:val="none"/>
              <w:lang w:val="en-US" w:eastAsia="zh-CN"/>
            </w:rPr>
            <w:t xml:space="preserve">（七） </w:t>
          </w:r>
          <w:r>
            <w:rPr>
              <w:rFonts w:hint="eastAsia" w:ascii="楷体" w:hAnsi="楷体" w:eastAsia="楷体"/>
              <w:bCs w:val="0"/>
              <w:color w:val="auto"/>
              <w:szCs w:val="32"/>
              <w:highlight w:val="none"/>
              <w:lang w:val="en-US" w:eastAsia="zh-CN"/>
            </w:rPr>
            <w:t>规范化培训</w:t>
          </w:r>
          <w:r>
            <w:rPr>
              <w:color w:val="auto"/>
              <w:highlight w:val="none"/>
            </w:rPr>
            <w:tab/>
          </w:r>
          <w:r>
            <w:rPr>
              <w:color w:val="auto"/>
              <w:highlight w:val="none"/>
            </w:rPr>
            <w:fldChar w:fldCharType="begin"/>
          </w:r>
          <w:r>
            <w:rPr>
              <w:color w:val="auto"/>
              <w:highlight w:val="none"/>
            </w:rPr>
            <w:instrText xml:space="preserve"> PAGEREF _Toc23840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_Toc15409 </w:instrText>
          </w:r>
          <w:r>
            <w:rPr>
              <w:color w:val="auto"/>
              <w:highlight w:val="none"/>
            </w:rPr>
            <w:fldChar w:fldCharType="separate"/>
          </w:r>
          <w:r>
            <w:rPr>
              <w:rFonts w:hint="eastAsia" w:ascii="楷体" w:hAnsi="楷体" w:eastAsia="楷体"/>
              <w:bCs w:val="0"/>
              <w:strike w:val="0"/>
              <w:dstrike w:val="0"/>
              <w:color w:val="auto"/>
              <w:szCs w:val="32"/>
              <w:highlight w:val="none"/>
              <w:lang w:val="en-US" w:eastAsia="zh-CN"/>
            </w:rPr>
            <w:t xml:space="preserve">（八） </w:t>
          </w:r>
          <w:r>
            <w:rPr>
              <w:rFonts w:hint="eastAsia" w:ascii="楷体" w:hAnsi="楷体" w:eastAsia="楷体"/>
              <w:bCs w:val="0"/>
              <w:color w:val="auto"/>
              <w:szCs w:val="32"/>
              <w:highlight w:val="none"/>
              <w:lang w:val="en-US" w:eastAsia="zh-CN"/>
            </w:rPr>
            <w:t>其他</w:t>
          </w:r>
          <w:r>
            <w:rPr>
              <w:color w:val="auto"/>
              <w:highlight w:val="none"/>
            </w:rPr>
            <w:tab/>
          </w:r>
          <w:r>
            <w:rPr>
              <w:color w:val="auto"/>
              <w:highlight w:val="none"/>
            </w:rPr>
            <w:fldChar w:fldCharType="begin"/>
          </w:r>
          <w:r>
            <w:rPr>
              <w:color w:val="auto"/>
              <w:highlight w:val="none"/>
            </w:rPr>
            <w:instrText xml:space="preserve"> PAGEREF _Toc15409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6"/>
            <w:tabs>
              <w:tab w:val="right" w:leader="dot" w:pos="8306"/>
            </w:tabs>
            <w:rPr>
              <w:color w:val="auto"/>
              <w:highlight w:val="none"/>
            </w:rPr>
          </w:pPr>
          <w:r>
            <w:rPr>
              <w:color w:val="auto"/>
              <w:highlight w:val="none"/>
            </w:rPr>
            <w:fldChar w:fldCharType="begin"/>
          </w:r>
          <w:r>
            <w:rPr>
              <w:color w:val="auto"/>
              <w:highlight w:val="none"/>
            </w:rPr>
            <w:instrText xml:space="preserve"> HYPERLINK \l _Toc20164 </w:instrText>
          </w:r>
          <w:r>
            <w:rPr>
              <w:color w:val="auto"/>
              <w:highlight w:val="none"/>
            </w:rPr>
            <w:fldChar w:fldCharType="separate"/>
          </w:r>
          <w:r>
            <w:rPr>
              <w:rFonts w:hint="eastAsia" w:ascii="黑体" w:hAnsi="黑体" w:eastAsia="黑体" w:cs="黑体"/>
              <w:bCs/>
              <w:strike w:val="0"/>
              <w:dstrike w:val="0"/>
              <w:color w:val="auto"/>
              <w:szCs w:val="32"/>
              <w:highlight w:val="none"/>
            </w:rPr>
            <w:t xml:space="preserve">十六、 </w:t>
          </w:r>
          <w:r>
            <w:rPr>
              <w:rFonts w:hint="eastAsia" w:ascii="黑体" w:hAnsi="黑体" w:eastAsia="黑体"/>
              <w:bCs/>
              <w:color w:val="auto"/>
              <w:szCs w:val="32"/>
              <w:highlight w:val="none"/>
            </w:rPr>
            <w:t>网上报名操作</w:t>
          </w:r>
          <w:r>
            <w:rPr>
              <w:rFonts w:hint="eastAsia" w:ascii="黑体" w:hAnsi="黑体" w:eastAsia="黑体"/>
              <w:bCs/>
              <w:color w:val="auto"/>
              <w:szCs w:val="32"/>
              <w:highlight w:val="none"/>
              <w:lang w:eastAsia="zh-CN"/>
            </w:rPr>
            <w:t>须知</w:t>
          </w:r>
          <w:r>
            <w:rPr>
              <w:color w:val="auto"/>
              <w:highlight w:val="none"/>
            </w:rPr>
            <w:tab/>
          </w:r>
          <w:r>
            <w:rPr>
              <w:color w:val="auto"/>
              <w:highlight w:val="none"/>
            </w:rPr>
            <w:fldChar w:fldCharType="begin"/>
          </w:r>
          <w:r>
            <w:rPr>
              <w:color w:val="auto"/>
              <w:highlight w:val="none"/>
            </w:rPr>
            <w:instrText xml:space="preserve"> PAGEREF _Toc20164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_Toc30184 </w:instrText>
          </w:r>
          <w:r>
            <w:rPr>
              <w:color w:val="auto"/>
              <w:highlight w:val="none"/>
            </w:rPr>
            <w:fldChar w:fldCharType="separate"/>
          </w:r>
          <w:r>
            <w:rPr>
              <w:rFonts w:hint="eastAsia" w:ascii="楷体" w:hAnsi="楷体" w:eastAsia="楷体"/>
              <w:color w:val="auto"/>
              <w:szCs w:val="32"/>
              <w:highlight w:val="none"/>
            </w:rPr>
            <w:t>（一） 报名信息填写</w:t>
          </w:r>
          <w:r>
            <w:rPr>
              <w:color w:val="auto"/>
              <w:highlight w:val="none"/>
            </w:rPr>
            <w:tab/>
          </w:r>
          <w:r>
            <w:rPr>
              <w:color w:val="auto"/>
              <w:highlight w:val="none"/>
            </w:rPr>
            <w:fldChar w:fldCharType="begin"/>
          </w:r>
          <w:r>
            <w:rPr>
              <w:color w:val="auto"/>
              <w:highlight w:val="none"/>
            </w:rPr>
            <w:instrText xml:space="preserve"> PAGEREF _Toc30184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3"/>
            <w:tabs>
              <w:tab w:val="right" w:leader="dot" w:pos="8306"/>
            </w:tabs>
            <w:rPr>
              <w:color w:val="auto"/>
              <w:highlight w:val="none"/>
            </w:rPr>
          </w:pPr>
          <w:r>
            <w:rPr>
              <w:color w:val="auto"/>
              <w:highlight w:val="none"/>
            </w:rPr>
            <w:fldChar w:fldCharType="begin"/>
          </w:r>
          <w:r>
            <w:rPr>
              <w:color w:val="auto"/>
              <w:highlight w:val="none"/>
            </w:rPr>
            <w:instrText xml:space="preserve"> HYPERLINK \l _Toc22865 </w:instrText>
          </w:r>
          <w:r>
            <w:rPr>
              <w:color w:val="auto"/>
              <w:highlight w:val="none"/>
            </w:rPr>
            <w:fldChar w:fldCharType="separate"/>
          </w:r>
          <w:r>
            <w:rPr>
              <w:rFonts w:hint="eastAsia" w:ascii="仿宋_GB2312" w:hAnsi="仿宋_GB2312" w:eastAsia="仿宋_GB2312" w:cs="仿宋_GB2312"/>
              <w:bCs w:val="0"/>
              <w:color w:val="auto"/>
              <w:szCs w:val="32"/>
              <w:highlight w:val="none"/>
              <w:lang w:val="en-US" w:eastAsia="zh-CN"/>
            </w:rPr>
            <w:t>1.首次在报名系统注册的考生</w:t>
          </w:r>
          <w:r>
            <w:rPr>
              <w:color w:val="auto"/>
              <w:highlight w:val="none"/>
            </w:rPr>
            <w:tab/>
          </w:r>
          <w:r>
            <w:rPr>
              <w:color w:val="auto"/>
              <w:highlight w:val="none"/>
            </w:rPr>
            <w:fldChar w:fldCharType="begin"/>
          </w:r>
          <w:r>
            <w:rPr>
              <w:color w:val="auto"/>
              <w:highlight w:val="none"/>
            </w:rPr>
            <w:instrText xml:space="preserve"> PAGEREF _Toc22865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3"/>
            <w:tabs>
              <w:tab w:val="right" w:leader="dot" w:pos="8306"/>
            </w:tabs>
            <w:rPr>
              <w:color w:val="auto"/>
              <w:highlight w:val="none"/>
            </w:rPr>
          </w:pPr>
          <w:r>
            <w:rPr>
              <w:color w:val="auto"/>
              <w:highlight w:val="none"/>
            </w:rPr>
            <w:fldChar w:fldCharType="begin"/>
          </w:r>
          <w:r>
            <w:rPr>
              <w:color w:val="auto"/>
              <w:highlight w:val="none"/>
            </w:rPr>
            <w:instrText xml:space="preserve"> HYPERLINK \l _Toc1099 </w:instrText>
          </w:r>
          <w:r>
            <w:rPr>
              <w:color w:val="auto"/>
              <w:highlight w:val="none"/>
            </w:rPr>
            <w:fldChar w:fldCharType="separate"/>
          </w:r>
          <w:r>
            <w:rPr>
              <w:rFonts w:hint="eastAsia" w:ascii="仿宋_GB2312" w:hAnsi="仿宋_GB2312" w:eastAsia="仿宋_GB2312" w:cs="仿宋_GB2312"/>
              <w:bCs w:val="0"/>
              <w:color w:val="auto"/>
              <w:szCs w:val="32"/>
              <w:highlight w:val="none"/>
              <w:lang w:val="en-US" w:eastAsia="zh-CN"/>
            </w:rPr>
            <w:t>2.曾在报名系统注册的考生</w:t>
          </w:r>
          <w:r>
            <w:rPr>
              <w:color w:val="auto"/>
              <w:highlight w:val="none"/>
            </w:rPr>
            <w:tab/>
          </w:r>
          <w:r>
            <w:rPr>
              <w:color w:val="auto"/>
              <w:highlight w:val="none"/>
            </w:rPr>
            <w:fldChar w:fldCharType="begin"/>
          </w:r>
          <w:r>
            <w:rPr>
              <w:color w:val="auto"/>
              <w:highlight w:val="none"/>
            </w:rPr>
            <w:instrText xml:space="preserve"> PAGEREF _Toc1099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_Toc9393 </w:instrText>
          </w:r>
          <w:r>
            <w:rPr>
              <w:color w:val="auto"/>
              <w:highlight w:val="none"/>
            </w:rPr>
            <w:fldChar w:fldCharType="separate"/>
          </w:r>
          <w:r>
            <w:rPr>
              <w:rFonts w:hint="eastAsia" w:ascii="楷体" w:hAnsi="楷体" w:eastAsia="楷体"/>
              <w:color w:val="auto"/>
              <w:szCs w:val="32"/>
              <w:highlight w:val="none"/>
            </w:rPr>
            <w:t xml:space="preserve">（二） </w:t>
          </w:r>
          <w:r>
            <w:rPr>
              <w:rFonts w:hint="eastAsia" w:ascii="楷体" w:hAnsi="楷体" w:eastAsia="楷体"/>
              <w:color w:val="auto"/>
              <w:szCs w:val="32"/>
              <w:highlight w:val="none"/>
              <w:lang w:eastAsia="zh-CN"/>
            </w:rPr>
            <w:t>报名次数限定</w:t>
          </w:r>
          <w:r>
            <w:rPr>
              <w:color w:val="auto"/>
              <w:highlight w:val="none"/>
            </w:rPr>
            <w:tab/>
          </w:r>
          <w:r>
            <w:rPr>
              <w:color w:val="auto"/>
              <w:highlight w:val="none"/>
            </w:rPr>
            <w:fldChar w:fldCharType="begin"/>
          </w:r>
          <w:r>
            <w:rPr>
              <w:color w:val="auto"/>
              <w:highlight w:val="none"/>
            </w:rPr>
            <w:instrText xml:space="preserve"> PAGEREF _Toc9393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7"/>
            <w:tabs>
              <w:tab w:val="right" w:leader="dot" w:pos="8306"/>
            </w:tabs>
            <w:rPr>
              <w:color w:val="auto"/>
              <w:highlight w:val="none"/>
            </w:rPr>
          </w:pPr>
          <w:r>
            <w:rPr>
              <w:color w:val="auto"/>
              <w:highlight w:val="none"/>
            </w:rPr>
            <w:fldChar w:fldCharType="begin"/>
          </w:r>
          <w:r>
            <w:rPr>
              <w:color w:val="auto"/>
              <w:highlight w:val="none"/>
            </w:rPr>
            <w:instrText xml:space="preserve"> HYPERLINK \l _Toc15533 </w:instrText>
          </w:r>
          <w:r>
            <w:rPr>
              <w:color w:val="auto"/>
              <w:highlight w:val="none"/>
            </w:rPr>
            <w:fldChar w:fldCharType="separate"/>
          </w:r>
          <w:r>
            <w:rPr>
              <w:rFonts w:hint="eastAsia" w:ascii="楷体" w:hAnsi="楷体" w:eastAsia="楷体"/>
              <w:color w:val="auto"/>
              <w:szCs w:val="32"/>
              <w:highlight w:val="none"/>
            </w:rPr>
            <w:t xml:space="preserve">（三） </w:t>
          </w:r>
          <w:r>
            <w:rPr>
              <w:rFonts w:hint="eastAsia" w:ascii="楷体" w:hAnsi="楷体" w:eastAsia="楷体"/>
              <w:color w:val="auto"/>
              <w:szCs w:val="32"/>
              <w:highlight w:val="none"/>
              <w:lang w:eastAsia="zh-CN"/>
            </w:rPr>
            <w:t>申诉注意事项</w:t>
          </w:r>
          <w:r>
            <w:rPr>
              <w:color w:val="auto"/>
              <w:highlight w:val="none"/>
            </w:rPr>
            <w:tab/>
          </w:r>
          <w:r>
            <w:rPr>
              <w:color w:val="auto"/>
              <w:highlight w:val="none"/>
            </w:rPr>
            <w:fldChar w:fldCharType="begin"/>
          </w:r>
          <w:r>
            <w:rPr>
              <w:color w:val="auto"/>
              <w:highlight w:val="none"/>
            </w:rPr>
            <w:instrText xml:space="preserve"> PAGEREF _Toc15533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color w:val="auto"/>
              <w:sz w:val="32"/>
              <w:szCs w:val="32"/>
              <w:highlight w:val="none"/>
              <w:u w:val="none"/>
            </w:rPr>
            <w:sectPr>
              <w:footerReference r:id="rId3" w:type="default"/>
              <w:pgSz w:w="11906" w:h="16838"/>
              <w:pgMar w:top="1440" w:right="1800" w:bottom="1440" w:left="1800" w:header="851" w:footer="992" w:gutter="0"/>
              <w:pgNumType w:start="1"/>
              <w:cols w:space="425" w:num="1"/>
              <w:docGrid w:type="lines" w:linePitch="312" w:charSpace="0"/>
            </w:sectPr>
          </w:pPr>
          <w:r>
            <w:rPr>
              <w:color w:val="auto"/>
              <w:highlight w:val="none"/>
            </w:rPr>
            <w:fldChar w:fldCharType="end"/>
          </w:r>
          <w:bookmarkStart w:id="88" w:name="_GoBack"/>
          <w:bookmarkEnd w:id="88"/>
        </w:p>
      </w:sdtContent>
    </w:sdt>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w:t>
      </w:r>
      <w:r>
        <w:rPr>
          <w:rFonts w:hint="eastAsia" w:ascii="仿宋_GB2312" w:eastAsia="仿宋_GB2312"/>
          <w:color w:val="auto"/>
          <w:sz w:val="32"/>
          <w:szCs w:val="32"/>
          <w:highlight w:val="none"/>
        </w:rPr>
        <w:t>根据事业单位</w:t>
      </w:r>
      <w:r>
        <w:rPr>
          <w:rFonts w:hint="eastAsia" w:ascii="仿宋_GB2312" w:eastAsia="仿宋_GB2312"/>
          <w:color w:val="auto"/>
          <w:sz w:val="32"/>
          <w:szCs w:val="32"/>
          <w:highlight w:val="none"/>
          <w:lang w:eastAsia="zh-CN"/>
        </w:rPr>
        <w:t>公开</w:t>
      </w:r>
      <w:r>
        <w:rPr>
          <w:rFonts w:hint="eastAsia" w:ascii="仿宋_GB2312" w:eastAsia="仿宋_GB2312"/>
          <w:color w:val="auto"/>
          <w:sz w:val="32"/>
          <w:szCs w:val="32"/>
          <w:highlight w:val="none"/>
        </w:rPr>
        <w:t>招聘</w:t>
      </w:r>
      <w:r>
        <w:rPr>
          <w:rFonts w:hint="eastAsia" w:ascii="仿宋_GB2312" w:eastAsia="仿宋_GB2312"/>
          <w:color w:val="auto"/>
          <w:sz w:val="32"/>
          <w:szCs w:val="32"/>
          <w:highlight w:val="none"/>
          <w:lang w:eastAsia="zh-CN"/>
        </w:rPr>
        <w:t>工作人员</w:t>
      </w:r>
      <w:r>
        <w:rPr>
          <w:rFonts w:hint="eastAsia" w:ascii="仿宋_GB2312" w:eastAsia="仿宋_GB2312"/>
          <w:color w:val="auto"/>
          <w:sz w:val="32"/>
          <w:szCs w:val="32"/>
          <w:highlight w:val="none"/>
        </w:rPr>
        <w:t>有关</w:t>
      </w:r>
      <w:r>
        <w:rPr>
          <w:rFonts w:hint="eastAsia" w:ascii="仿宋_GB2312" w:eastAsia="仿宋_GB2312"/>
          <w:color w:val="auto"/>
          <w:sz w:val="32"/>
          <w:szCs w:val="32"/>
          <w:highlight w:val="none"/>
          <w:u w:val="none"/>
          <w:lang w:eastAsia="zh-CN"/>
        </w:rPr>
        <w:t>规定，厦</w:t>
      </w:r>
      <w:r>
        <w:rPr>
          <w:rFonts w:hint="eastAsia" w:ascii="仿宋_GB2312" w:eastAsia="仿宋_GB2312"/>
          <w:color w:val="auto"/>
          <w:sz w:val="32"/>
          <w:szCs w:val="32"/>
          <w:highlight w:val="none"/>
        </w:rPr>
        <w:t>门市、区组织人社部门联合编写了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2024年</w:t>
      </w:r>
      <w:r>
        <w:rPr>
          <w:rFonts w:hint="eastAsia" w:ascii="仿宋_GB2312" w:eastAsia="仿宋_GB2312"/>
          <w:color w:val="auto"/>
          <w:sz w:val="32"/>
          <w:szCs w:val="32"/>
          <w:highlight w:val="none"/>
          <w:u w:val="none"/>
        </w:rPr>
        <w:t>厦</w:t>
      </w:r>
      <w:r>
        <w:rPr>
          <w:rFonts w:hint="eastAsia" w:ascii="仿宋_GB2312" w:eastAsia="仿宋_GB2312"/>
          <w:color w:val="auto"/>
          <w:sz w:val="32"/>
          <w:szCs w:val="32"/>
          <w:highlight w:val="none"/>
        </w:rPr>
        <w:t>门市事业单位</w:t>
      </w:r>
      <w:r>
        <w:rPr>
          <w:rFonts w:hint="eastAsia" w:ascii="仿宋_GB2312" w:eastAsia="仿宋_GB2312"/>
          <w:color w:val="auto"/>
          <w:sz w:val="32"/>
          <w:szCs w:val="32"/>
          <w:highlight w:val="none"/>
          <w:lang w:eastAsia="zh-CN"/>
        </w:rPr>
        <w:t>公开</w:t>
      </w:r>
      <w:r>
        <w:rPr>
          <w:rFonts w:hint="eastAsia" w:ascii="仿宋_GB2312" w:eastAsia="仿宋_GB2312"/>
          <w:color w:val="auto"/>
          <w:sz w:val="32"/>
          <w:szCs w:val="32"/>
          <w:highlight w:val="none"/>
        </w:rPr>
        <w:t>招聘工作人员考试报考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仅适用于</w:t>
      </w:r>
      <w:r>
        <w:rPr>
          <w:rFonts w:hint="eastAsia" w:ascii="仿宋_GB2312" w:eastAsia="仿宋_GB2312"/>
          <w:color w:val="auto"/>
          <w:sz w:val="32"/>
          <w:szCs w:val="32"/>
          <w:highlight w:val="none"/>
          <w:u w:val="none"/>
          <w:lang w:val="en-US" w:eastAsia="zh-CN"/>
        </w:rPr>
        <w:t>2024年</w:t>
      </w:r>
      <w:r>
        <w:rPr>
          <w:rFonts w:hint="eastAsia" w:ascii="仿宋_GB2312" w:eastAsia="仿宋_GB2312"/>
          <w:color w:val="auto"/>
          <w:sz w:val="32"/>
          <w:szCs w:val="32"/>
          <w:highlight w:val="none"/>
          <w:u w:val="none"/>
        </w:rPr>
        <w:t>厦门市事业单位</w:t>
      </w:r>
      <w:r>
        <w:rPr>
          <w:rFonts w:hint="eastAsia" w:ascii="仿宋_GB2312" w:eastAsia="仿宋_GB2312"/>
          <w:color w:val="auto"/>
          <w:sz w:val="32"/>
          <w:szCs w:val="32"/>
          <w:highlight w:val="none"/>
          <w:u w:val="none"/>
          <w:lang w:eastAsia="zh-CN"/>
        </w:rPr>
        <w:t>公开</w:t>
      </w:r>
      <w:r>
        <w:rPr>
          <w:rFonts w:hint="eastAsia" w:ascii="仿宋_GB2312" w:eastAsia="仿宋_GB2312"/>
          <w:color w:val="auto"/>
          <w:sz w:val="32"/>
          <w:szCs w:val="32"/>
          <w:highlight w:val="none"/>
          <w:u w:val="none"/>
        </w:rPr>
        <w:t>招聘工作人员考试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由市、区组织人社部门共同解释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1" w:name="_Toc15362"/>
      <w:r>
        <w:rPr>
          <w:rFonts w:hint="eastAsia" w:ascii="黑体" w:hAnsi="黑体" w:eastAsia="黑体"/>
          <w:b/>
          <w:bCs/>
          <w:color w:val="auto"/>
          <w:sz w:val="32"/>
          <w:szCs w:val="32"/>
          <w:highlight w:val="none"/>
        </w:rPr>
        <w:t>基本条件</w:t>
      </w:r>
      <w:bookmarkEnd w:id="1"/>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（一）具有中华人民共和国国籍；</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（二）拥护中华人民共和国宪法,拥护中国共产党领导和社会主义制度； </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（三）具有良好的政治素质和道德品行，具有正常履行职责的身心条件；</w:t>
      </w:r>
    </w:p>
    <w:p>
      <w:pPr>
        <w:numPr>
          <w:ilvl w:val="0"/>
          <w:numId w:val="0"/>
        </w:num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（四）18周岁以上、3</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周岁以下（在</w:t>
      </w:r>
      <w:r>
        <w:rPr>
          <w:rFonts w:hint="eastAsia" w:ascii="仿宋_GB2312" w:eastAsia="仿宋_GB2312"/>
          <w:color w:val="auto"/>
          <w:sz w:val="32"/>
          <w:szCs w:val="32"/>
          <w:highlight w:val="none"/>
          <w:lang w:val="en-US" w:eastAsia="zh-CN"/>
        </w:rPr>
        <w:t>1988</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 w:name="_Toc25347"/>
      <w:r>
        <w:rPr>
          <w:rFonts w:hint="eastAsia" w:ascii="黑体" w:hAnsi="黑体" w:eastAsia="黑体"/>
          <w:b/>
          <w:bCs/>
          <w:color w:val="auto"/>
          <w:sz w:val="32"/>
          <w:szCs w:val="32"/>
          <w:highlight w:val="none"/>
        </w:rPr>
        <w:t>不得报考或取消报考（聘用）资格的情形</w:t>
      </w:r>
      <w:bookmarkEnd w:id="2"/>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因犯罪受过刑事处罚的；</w:t>
      </w:r>
    </w:p>
    <w:p>
      <w:pPr>
        <w:numPr>
          <w:ilvl w:val="0"/>
          <w:numId w:val="2"/>
        </w:numPr>
        <w:ind w:left="-10" w:leftChars="0" w:firstLine="640" w:firstLineChars="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p>
    <w:p>
      <w:pPr>
        <w:numPr>
          <w:ilvl w:val="0"/>
          <w:numId w:val="2"/>
        </w:numPr>
        <w:ind w:left="-10" w:leftChars="0" w:firstLine="640" w:firstLineChars="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被依法列为失信联合惩戒对象的；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在各级公务员或事业单位招考中被认定有舞弊等严重违反录(聘)用纪律行为的；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公务员或参照公务员法管理机关（单位）工作人员</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以下简称“参公人员”</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被辞退未满5年的；</w:t>
      </w:r>
    </w:p>
    <w:p>
      <w:pPr>
        <w:numPr>
          <w:ilvl w:val="0"/>
          <w:numId w:val="2"/>
        </w:numPr>
        <w:ind w:left="-10" w:leftChars="0" w:firstLine="640" w:firstLineChars="0"/>
        <w:rPr>
          <w:rFonts w:hint="eastAsia" w:ascii="仿宋_GB2312" w:eastAsia="仿宋_GB2312"/>
          <w:strike w:val="0"/>
          <w:dstrike w:val="0"/>
          <w:color w:val="auto"/>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公务员或参公人员录用后服务年限未达到与当地公务员主管部门或所在单位组织人事部门约定服务年限的；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w:t>
      </w:r>
      <w:r>
        <w:rPr>
          <w:rFonts w:hint="eastAsia" w:ascii="仿宋_GB2312" w:eastAsia="仿宋_GB2312"/>
          <w:color w:val="auto"/>
          <w:sz w:val="32"/>
          <w:szCs w:val="32"/>
          <w:highlight w:val="none"/>
          <w:shd w:val="clear" w:color="auto" w:fill="auto"/>
        </w:rPr>
        <w:t>202</w:t>
      </w:r>
      <w:r>
        <w:rPr>
          <w:rFonts w:hint="eastAsia" w:ascii="仿宋_GB2312" w:eastAsia="仿宋_GB2312"/>
          <w:color w:val="auto"/>
          <w:sz w:val="32"/>
          <w:szCs w:val="32"/>
          <w:highlight w:val="none"/>
          <w:shd w:val="clear" w:color="auto" w:fill="auto"/>
          <w:lang w:val="en-US" w:eastAsia="zh-CN"/>
        </w:rPr>
        <w:t>5</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olor w:val="auto"/>
          <w:sz w:val="32"/>
          <w:szCs w:val="32"/>
          <w:highlight w:val="none"/>
          <w:lang w:eastAsia="zh-CN"/>
        </w:rPr>
        <w:t>；</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聘用后即构成应回避关系的；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法律法规规章规定不得聘为事业单位人员的</w:t>
      </w:r>
      <w:r>
        <w:rPr>
          <w:rFonts w:hint="eastAsia" w:ascii="仿宋_GB2312" w:eastAsia="仿宋_GB2312"/>
          <w:color w:val="auto"/>
          <w:sz w:val="32"/>
          <w:szCs w:val="32"/>
          <w:highlight w:val="none"/>
          <w:lang w:eastAsia="zh-CN"/>
        </w:rPr>
        <w:t>其他情形</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3" w:name="_Toc28631"/>
      <w:r>
        <w:rPr>
          <w:rFonts w:hint="eastAsia" w:ascii="黑体" w:hAnsi="黑体" w:eastAsia="黑体"/>
          <w:b/>
          <w:bCs/>
          <w:color w:val="auto"/>
          <w:sz w:val="32"/>
          <w:szCs w:val="32"/>
          <w:highlight w:val="none"/>
          <w:lang w:eastAsia="zh-CN"/>
        </w:rPr>
        <w:t>选报岗位</w:t>
      </w:r>
      <w:bookmarkEnd w:id="3"/>
    </w:p>
    <w:p>
      <w:pPr>
        <w:ind w:firstLine="643" w:firstLineChars="200"/>
        <w:outlineLvl w:val="1"/>
        <w:rPr>
          <w:rFonts w:ascii="楷体" w:hAnsi="楷体" w:eastAsia="楷体"/>
          <w:b/>
          <w:color w:val="auto"/>
          <w:sz w:val="32"/>
          <w:szCs w:val="32"/>
          <w:highlight w:val="none"/>
        </w:rPr>
      </w:pPr>
      <w:bookmarkStart w:id="4" w:name="_Toc29248"/>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w:t>
      </w:r>
      <w:r>
        <w:rPr>
          <w:rFonts w:hint="eastAsia" w:ascii="楷体" w:hAnsi="楷体" w:eastAsia="楷体"/>
          <w:b/>
          <w:color w:val="auto"/>
          <w:sz w:val="32"/>
          <w:szCs w:val="32"/>
          <w:highlight w:val="none"/>
        </w:rPr>
        <w:t>条件确认</w:t>
      </w:r>
      <w:bookmarkEnd w:id="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2.本次考试全市</w:t>
      </w:r>
      <w:r>
        <w:rPr>
          <w:rFonts w:hint="eastAsia" w:ascii="仿宋_GB2312" w:eastAsia="仿宋_GB2312"/>
          <w:color w:val="auto"/>
          <w:sz w:val="32"/>
          <w:szCs w:val="32"/>
          <w:highlight w:val="none"/>
          <w:lang w:eastAsia="zh-CN"/>
        </w:rPr>
        <w:t>同</w:t>
      </w:r>
      <w:r>
        <w:rPr>
          <w:rFonts w:hint="eastAsia" w:ascii="仿宋_GB2312" w:eastAsia="仿宋_GB2312"/>
          <w:color w:val="auto"/>
          <w:sz w:val="32"/>
          <w:szCs w:val="32"/>
          <w:highlight w:val="none"/>
        </w:rPr>
        <w:t>一笔试时间并采用同一网络报名平台，</w:t>
      </w:r>
      <w:r>
        <w:rPr>
          <w:rFonts w:hint="eastAsia" w:ascii="仿宋_GB2312" w:eastAsia="仿宋_GB2312"/>
          <w:color w:val="auto"/>
          <w:sz w:val="32"/>
          <w:szCs w:val="32"/>
          <w:highlight w:val="none"/>
          <w:lang w:eastAsia="zh-CN"/>
        </w:rPr>
        <w:t>每名报考者</w:t>
      </w:r>
      <w:r>
        <w:rPr>
          <w:rFonts w:hint="eastAsia" w:ascii="仿宋_GB2312" w:eastAsia="仿宋_GB2312"/>
          <w:color w:val="auto"/>
          <w:sz w:val="32"/>
          <w:szCs w:val="32"/>
          <w:highlight w:val="none"/>
        </w:rPr>
        <w:t>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个岗位，通过资格初审后不得更改，并以通过资格初审的岗位参加考试。</w:t>
      </w:r>
      <w:r>
        <w:rPr>
          <w:rFonts w:hint="eastAsia" w:ascii="仿宋_GB2312" w:eastAsia="仿宋_GB2312"/>
          <w:color w:val="auto"/>
          <w:sz w:val="32"/>
          <w:szCs w:val="32"/>
          <w:highlight w:val="none"/>
          <w:lang w:eastAsia="zh-CN"/>
        </w:rPr>
        <w:t>如：</w:t>
      </w:r>
      <w:r>
        <w:rPr>
          <w:rFonts w:hint="eastAsia" w:ascii="仿宋_GB2312" w:eastAsia="仿宋_GB2312"/>
          <w:color w:val="auto"/>
          <w:sz w:val="32"/>
          <w:szCs w:val="32"/>
          <w:highlight w:val="none"/>
        </w:rPr>
        <w:t>已报考区属事业单位的，不能再报考市属事业单位招聘岗位</w:t>
      </w:r>
      <w:r>
        <w:rPr>
          <w:rFonts w:hint="eastAsia" w:ascii="仿宋_GB2312" w:eastAsia="仿宋_GB2312"/>
          <w:color w:val="auto"/>
          <w:sz w:val="32"/>
          <w:szCs w:val="32"/>
          <w:highlight w:val="none"/>
          <w:lang w:eastAsia="zh-CN"/>
        </w:rPr>
        <w:t>；各区属事业单位中，也只能报考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640" w:lineRule="exact"/>
        <w:ind w:right="0" w:firstLine="640" w:firstLineChars="200"/>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w:t>
      </w:r>
      <w:r>
        <w:rPr>
          <w:rFonts w:hint="eastAsia" w:ascii="仿宋_GB2312" w:eastAsia="仿宋_GB2312"/>
          <w:color w:val="auto"/>
          <w:sz w:val="32"/>
          <w:szCs w:val="32"/>
          <w:highlight w:val="none"/>
          <w:lang w:val="en-US" w:eastAsia="zh-CN"/>
        </w:rPr>
        <w:t>更新一次，4月6日24:00起不再更新。</w:t>
      </w:r>
    </w:p>
    <w:p>
      <w:pPr>
        <w:ind w:firstLine="643" w:firstLineChars="200"/>
        <w:outlineLvl w:val="1"/>
        <w:rPr>
          <w:rFonts w:hint="eastAsia" w:ascii="楷体" w:hAnsi="楷体" w:eastAsia="楷体"/>
          <w:b/>
          <w:color w:val="auto"/>
          <w:sz w:val="32"/>
          <w:szCs w:val="32"/>
          <w:highlight w:val="none"/>
          <w:lang w:eastAsia="zh-CN"/>
        </w:rPr>
      </w:pPr>
      <w:bookmarkStart w:id="5" w:name="_Toc9478"/>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①着制式服装照（公安、工商、武警等）；②着帽子</w:t>
      </w:r>
      <w:r>
        <w:rPr>
          <w:rFonts w:hint="eastAsia" w:ascii="仿宋_GB2312" w:eastAsia="仿宋_GB2312"/>
          <w:color w:val="auto"/>
          <w:sz w:val="32"/>
          <w:szCs w:val="32"/>
          <w:highlight w:val="none"/>
          <w:lang w:eastAsia="zh-CN"/>
        </w:rPr>
        <w:t>或太醒目、夸张首饰等；③模糊不清晰的；④眼镜反光的；⑤明显不是个人照片</w:t>
      </w:r>
      <w:r>
        <w:rPr>
          <w:rFonts w:hint="eastAsia" w:ascii="仿宋_GB2312" w:eastAsia="仿宋_GB2312"/>
          <w:color w:val="auto"/>
          <w:sz w:val="32"/>
          <w:szCs w:val="32"/>
          <w:highlight w:val="none"/>
        </w:rPr>
        <w:t>的（如风景照、名人照等）；⑥随意自拍的半身照，全身照等无法看清楚</w:t>
      </w:r>
      <w:r>
        <w:rPr>
          <w:rFonts w:hint="eastAsia" w:ascii="仿宋_GB2312" w:eastAsia="仿宋_GB2312"/>
          <w:color w:val="auto"/>
          <w:sz w:val="32"/>
          <w:szCs w:val="32"/>
          <w:highlight w:val="none"/>
          <w:lang w:eastAsia="zh-CN"/>
        </w:rPr>
        <w:t>脸部</w:t>
      </w:r>
      <w:r>
        <w:rPr>
          <w:rFonts w:hint="eastAsia" w:ascii="仿宋_GB2312" w:eastAsia="仿宋_GB2312"/>
          <w:color w:val="auto"/>
          <w:sz w:val="32"/>
          <w:szCs w:val="32"/>
          <w:highlight w:val="none"/>
        </w:rPr>
        <w:t>的； ⑦头发刘海遮挡面大的；⑧照片比例变形的；⑨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ind w:firstLine="643" w:firstLineChars="200"/>
        <w:outlineLvl w:val="1"/>
        <w:rPr>
          <w:rFonts w:hint="eastAsia" w:ascii="楷体" w:hAnsi="楷体" w:eastAsia="楷体"/>
          <w:b/>
          <w:color w:val="auto"/>
          <w:sz w:val="32"/>
          <w:szCs w:val="32"/>
          <w:highlight w:val="none"/>
          <w:lang w:eastAsia="zh-CN"/>
        </w:rPr>
      </w:pPr>
      <w:bookmarkStart w:id="6" w:name="_Toc165"/>
      <w:r>
        <w:rPr>
          <w:rFonts w:hint="eastAsia" w:ascii="楷体" w:hAnsi="楷体" w:eastAsia="楷体"/>
          <w:b/>
          <w:color w:val="auto"/>
          <w:sz w:val="32"/>
          <w:szCs w:val="32"/>
          <w:highlight w:val="none"/>
          <w:lang w:eastAsia="zh-CN"/>
        </w:rPr>
        <w:t>个人简历</w:t>
      </w:r>
      <w:bookmarkEnd w:id="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eastAsia="仿宋_GB2312"/>
          <w:color w:val="auto"/>
          <w:sz w:val="32"/>
          <w:szCs w:val="32"/>
          <w:highlight w:val="none"/>
          <w:lang w:val="en-US" w:eastAsia="zh-CN"/>
        </w:rPr>
        <w:t xml:space="preserve">    </w:t>
      </w:r>
      <w:bookmarkStart w:id="7" w:name="_Toc28349"/>
      <w:bookmarkStart w:id="8" w:name="_Toc11175"/>
      <w:bookmarkStart w:id="9" w:name="_Toc29293"/>
      <w:bookmarkStart w:id="10" w:name="_Toc4830"/>
      <w:bookmarkStart w:id="11" w:name="_Toc5535"/>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曾在报名系统中注册登记的考生，本次报考前务必首先根据实际情况重新修改完善个人相关信息（截至报名截止月或报名截止日），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7"/>
      <w:bookmarkEnd w:id="8"/>
      <w:r>
        <w:rPr>
          <w:rFonts w:hint="eastAsia" w:ascii="仿宋_GB2312" w:hAnsi="仿宋_GB2312" w:eastAsia="仿宋_GB2312" w:cs="仿宋_GB2312"/>
          <w:color w:val="auto"/>
          <w:sz w:val="32"/>
          <w:szCs w:val="32"/>
          <w:highlight w:val="none"/>
          <w:lang w:eastAsia="zh-CN"/>
        </w:rPr>
        <w:t>报名提交审核后再修改填写的个人信息，系统无法自动更新呈现。为避免所报考岗位审核人员按原信息审核判定不符合，</w:t>
      </w:r>
      <w:r>
        <w:rPr>
          <w:rFonts w:hint="eastAsia" w:ascii="仿宋_GB2312" w:hAnsi="仿宋_GB2312" w:eastAsia="仿宋_GB2312" w:cs="仿宋_GB2312"/>
          <w:b/>
          <w:bCs/>
          <w:color w:val="auto"/>
          <w:sz w:val="32"/>
          <w:szCs w:val="32"/>
          <w:highlight w:val="none"/>
          <w:lang w:eastAsia="zh-CN"/>
        </w:rPr>
        <w:t>请务必在报名信息提交前完善并确认个人信息无误。</w:t>
      </w:r>
      <w:bookmarkEnd w:id="9"/>
      <w:bookmarkEnd w:id="10"/>
      <w:bookmarkEnd w:id="1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ind w:firstLine="643" w:firstLineChars="200"/>
        <w:outlineLvl w:val="1"/>
        <w:rPr>
          <w:rFonts w:hint="eastAsia" w:ascii="楷体" w:hAnsi="楷体" w:eastAsia="楷体"/>
          <w:b/>
          <w:color w:val="auto"/>
          <w:sz w:val="32"/>
          <w:szCs w:val="32"/>
          <w:highlight w:val="none"/>
          <w:lang w:val="en-US" w:eastAsia="zh-CN"/>
        </w:rPr>
      </w:pPr>
      <w:bookmarkStart w:id="12" w:name="_Toc27685"/>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四</w:t>
      </w:r>
      <w:r>
        <w:rPr>
          <w:rFonts w:hint="eastAsia" w:ascii="楷体" w:hAnsi="楷体" w:eastAsia="楷体"/>
          <w:b/>
          <w:color w:val="auto"/>
          <w:sz w:val="32"/>
          <w:szCs w:val="32"/>
          <w:highlight w:val="none"/>
        </w:rPr>
        <w:t>）专门岗位</w:t>
      </w:r>
      <w:bookmarkEnd w:id="1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001-00</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专门岗位面向符合岗位资格条件的下列对象招考：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（1）厦门市服务基层项目毕业生：指参加国家和福建省组织实施的“三支一扶”计划、“志愿服务西部计划”（含研究生支教团）、“志愿服务欠发达地区计划”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“服务社区计划”</w:t>
      </w:r>
      <w:r>
        <w:rPr>
          <w:rFonts w:hint="eastAsia" w:ascii="仿宋_GB2312" w:eastAsia="仿宋_GB2312"/>
          <w:color w:val="auto"/>
          <w:sz w:val="32"/>
          <w:szCs w:val="32"/>
          <w:highlight w:val="none"/>
          <w:lang w:eastAsia="zh-CN"/>
        </w:rPr>
        <w:t>和“乡村振兴计划”</w:t>
      </w:r>
      <w:r>
        <w:rPr>
          <w:rFonts w:hint="eastAsia" w:ascii="仿宋_GB2312" w:eastAsia="仿宋_GB2312"/>
          <w:color w:val="auto"/>
          <w:sz w:val="32"/>
          <w:szCs w:val="32"/>
          <w:highlight w:val="none"/>
          <w:lang w:val="en-US" w:eastAsia="zh-CN"/>
        </w:rPr>
        <w:t>等服务基层项目</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2024年12月31日</w:t>
      </w:r>
      <w:r>
        <w:rPr>
          <w:rFonts w:hint="eastAsia" w:ascii="仿宋_GB2312" w:eastAsia="仿宋_GB2312"/>
          <w:color w:val="auto"/>
          <w:sz w:val="32"/>
          <w:szCs w:val="32"/>
          <w:highlight w:val="none"/>
        </w:rPr>
        <w:t>前期满考核合格的厦门户籍或厦门生源高校毕业人员。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（2）厦门市大学生退役士兵：指从厦门市应征入伍，</w:t>
      </w:r>
      <w:r>
        <w:rPr>
          <w:rFonts w:hint="eastAsia" w:ascii="仿宋_GB2312" w:eastAsia="仿宋_GB2312"/>
          <w:color w:val="auto"/>
          <w:sz w:val="32"/>
          <w:szCs w:val="32"/>
          <w:highlight w:val="none"/>
          <w:lang w:eastAsia="zh-CN"/>
        </w:rPr>
        <w:t>在报名截止日前毕业且退役的并</w:t>
      </w:r>
      <w:r>
        <w:rPr>
          <w:rFonts w:hint="eastAsia" w:ascii="仿宋_GB2312" w:eastAsia="仿宋_GB2312"/>
          <w:color w:val="auto"/>
          <w:sz w:val="32"/>
          <w:szCs w:val="32"/>
          <w:highlight w:val="none"/>
        </w:rPr>
        <w:t>具备下列条件之一的人员：①全日制普通教育大专以上学历学生在校期间应征入伍且退役后</w:t>
      </w:r>
      <w:r>
        <w:rPr>
          <w:rFonts w:hint="eastAsia" w:ascii="仿宋_GB2312" w:eastAsia="仿宋_GB2312"/>
          <w:color w:val="auto"/>
          <w:sz w:val="32"/>
          <w:szCs w:val="32"/>
          <w:highlight w:val="none"/>
          <w:lang w:eastAsia="zh-CN"/>
        </w:rPr>
        <w:t>已</w:t>
      </w:r>
      <w:r>
        <w:rPr>
          <w:rFonts w:hint="eastAsia" w:ascii="仿宋_GB2312" w:eastAsia="仿宋_GB2312"/>
          <w:color w:val="auto"/>
          <w:sz w:val="32"/>
          <w:szCs w:val="32"/>
          <w:highlight w:val="none"/>
        </w:rPr>
        <w:t>继续完成学业的；②全日制普通教育大专以上学历毕业生应征入伍的。</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厦门市军人随军随调家属：指具备下列条件之一的人员：①随军家属，指经军队旅（团）级以上单位政治工作部门批准，并在报名截止日前办理了随军厦门手续的驻厦部队现役军人（含驻厦部队中符合移交地方尚未移交的退休人员、转业厦门待安置人员，深化国防和军队改革期间驻厦部队现役干部就地转改文职人员）的配偶；②随调随迁家属，指入伍前为厦门户籍（不含非厦门生源大中专生在院校入伍）回厦安置的军转干部的随调随迁配偶。军人随军随调家属报考年龄可放宽到40周岁。</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凡曾通过享受政策待遇被录（聘）为公务员或事业单位编内工作人员的上述对象，不得报考</w:t>
      </w:r>
      <w:r>
        <w:rPr>
          <w:rFonts w:hint="eastAsia" w:ascii="仿宋_GB2312" w:eastAsia="仿宋_GB2312"/>
          <w:color w:val="auto"/>
          <w:sz w:val="32"/>
          <w:szCs w:val="32"/>
          <w:highlight w:val="none"/>
          <w:lang w:eastAsia="zh-CN"/>
        </w:rPr>
        <w:t>专门岗位</w:t>
      </w:r>
      <w:r>
        <w:rPr>
          <w:rFonts w:hint="eastAsia" w:ascii="仿宋_GB2312" w:eastAsia="仿宋_GB2312"/>
          <w:color w:val="auto"/>
          <w:sz w:val="32"/>
          <w:szCs w:val="32"/>
          <w:highlight w:val="none"/>
        </w:rPr>
        <w:t>。</w:t>
      </w:r>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报考专门岗位人员须在网上报名时如实填报</w:t>
      </w:r>
      <w:r>
        <w:rPr>
          <w:rFonts w:hint="eastAsia" w:ascii="仿宋_GB2312" w:eastAsia="仿宋_GB2312"/>
          <w:color w:val="auto"/>
          <w:sz w:val="32"/>
          <w:szCs w:val="32"/>
          <w:highlight w:val="none"/>
          <w:lang w:eastAsia="zh-CN"/>
        </w:rPr>
        <w:t>，并于</w:t>
      </w:r>
      <w:r>
        <w:rPr>
          <w:rFonts w:hint="eastAsia" w:ascii="仿宋_GB2312" w:eastAsia="仿宋_GB2312"/>
          <w:b/>
          <w:bCs/>
          <w:color w:val="auto"/>
          <w:sz w:val="32"/>
          <w:szCs w:val="32"/>
          <w:highlight w:val="none"/>
          <w:lang w:eastAsia="zh-CN"/>
        </w:rPr>
        <w:t>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提交相应的证明材料（提交方式请与招聘单位联系人联系）</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服务基层项目毕业生提交项目组织实施机构出具的服务基层项目期满考核合格证书（或服务期满考核合格材料）；</w:t>
      </w:r>
    </w:p>
    <w:p>
      <w:pPr>
        <w:ind w:firstLine="640" w:firstLineChars="200"/>
        <w:rPr>
          <w:rFonts w:ascii="仿宋_GB2312" w:eastAsia="仿宋_GB2312"/>
          <w:color w:val="auto"/>
          <w:sz w:val="32"/>
          <w:szCs w:val="32"/>
          <w:highlight w:val="none"/>
        </w:rPr>
      </w:pPr>
      <w:r>
        <w:rPr>
          <w:rFonts w:hint="eastAsia" w:ascii="仿宋_GB2312" w:eastAsia="仿宋_GB2312"/>
          <w:strike w:val="0"/>
          <w:dstrike w:val="0"/>
          <w:color w:val="auto"/>
          <w:sz w:val="32"/>
          <w:szCs w:val="32"/>
          <w:highlight w:val="none"/>
          <w:lang w:eastAsia="zh-CN"/>
        </w:rPr>
        <w:t>大学生退役士兵，安置在厦门的，</w:t>
      </w:r>
      <w:r>
        <w:rPr>
          <w:rFonts w:hint="eastAsia" w:ascii="仿宋_GB2312" w:eastAsia="仿宋_GB2312"/>
          <w:strike w:val="0"/>
          <w:dstrike w:val="0"/>
          <w:color w:val="auto"/>
          <w:sz w:val="32"/>
          <w:szCs w:val="32"/>
          <w:highlight w:val="none"/>
        </w:rPr>
        <w:t>可于上班时间持身份证、退伍证前往安置地区级退役军人事务局开具证明；安置在厦门市以外的，可由安置地县级及以上退役军人事务部门开具证明。此前已由相关部门开具的证明继续有效。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军人随军家属提供军人所在旅（团）级以上单位政治工作部门出具的证明材料和家属随军报告表原件及复印件，由厦门警备区政治工作处审核并出具书面证明材料（联系电话：0592-6332139）；</w:t>
      </w:r>
    </w:p>
    <w:p>
      <w:pPr>
        <w:ind w:firstLine="640" w:firstLineChars="200"/>
        <w:jc w:val="both"/>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军人</w:t>
      </w:r>
      <w:r>
        <w:rPr>
          <w:rFonts w:hint="eastAsia" w:ascii="仿宋_GB2312" w:eastAsia="仿宋_GB2312"/>
          <w:color w:val="auto"/>
          <w:sz w:val="32"/>
          <w:szCs w:val="32"/>
          <w:highlight w:val="none"/>
        </w:rPr>
        <w:t>随调随迁家属由</w:t>
      </w:r>
      <w:r>
        <w:rPr>
          <w:rFonts w:hint="eastAsia" w:ascii="仿宋_GB2312" w:eastAsia="仿宋_GB2312"/>
          <w:color w:val="auto"/>
          <w:sz w:val="32"/>
          <w:szCs w:val="32"/>
          <w:highlight w:val="none"/>
          <w:lang w:eastAsia="zh-CN"/>
        </w:rPr>
        <w:t>厦门市</w:t>
      </w:r>
      <w:r>
        <w:rPr>
          <w:rFonts w:hint="eastAsia" w:ascii="仿宋_GB2312" w:eastAsia="仿宋_GB2312"/>
          <w:color w:val="auto"/>
          <w:sz w:val="32"/>
          <w:szCs w:val="32"/>
          <w:highlight w:val="none"/>
        </w:rPr>
        <w:t>退役军人事务局移交安置和就业创业处审核并出具书面证明材料（联系电话：0592-22262</w:t>
      </w:r>
      <w:r>
        <w:rPr>
          <w:rFonts w:hint="eastAsia" w:ascii="仿宋_GB2312" w:eastAsia="仿宋_GB2312"/>
          <w:color w:val="auto"/>
          <w:sz w:val="32"/>
          <w:szCs w:val="32"/>
          <w:highlight w:val="none"/>
          <w:lang w:val="en-US" w:eastAsia="zh-CN"/>
        </w:rPr>
        <w:t>51</w:t>
      </w:r>
      <w:r>
        <w:rPr>
          <w:rFonts w:hint="eastAsia" w:ascii="仿宋_GB2312" w:eastAsia="仿宋_GB2312"/>
          <w:color w:val="auto"/>
          <w:sz w:val="32"/>
          <w:szCs w:val="32"/>
          <w:highlight w:val="none"/>
        </w:rPr>
        <w:t>）。</w:t>
      </w:r>
    </w:p>
    <w:p>
      <w:pPr>
        <w:ind w:firstLine="643" w:firstLineChars="200"/>
        <w:outlineLvl w:val="1"/>
        <w:rPr>
          <w:rFonts w:ascii="楷体" w:hAnsi="楷体" w:eastAsia="楷体"/>
          <w:b/>
          <w:color w:val="auto"/>
          <w:sz w:val="32"/>
          <w:szCs w:val="32"/>
          <w:highlight w:val="none"/>
        </w:rPr>
      </w:pPr>
      <w:bookmarkStart w:id="13" w:name="_Toc24573"/>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五</w:t>
      </w:r>
      <w:r>
        <w:rPr>
          <w:rFonts w:hint="eastAsia" w:ascii="楷体" w:hAnsi="楷体" w:eastAsia="楷体"/>
          <w:b/>
          <w:color w:val="auto"/>
          <w:sz w:val="32"/>
          <w:szCs w:val="32"/>
          <w:highlight w:val="none"/>
        </w:rPr>
        <w:t>）回避情形</w:t>
      </w:r>
      <w:bookmarkEnd w:id="13"/>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夫妻关系</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直系血亲关系，包括祖父母、外祖父母、父母、子女、孙子女、外孙子女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三代以内旁系血亲关系，包括叔伯姑舅姨、兄弟姐妹、堂兄弟姐妹、表兄弟姐妹、侄子女、甥子女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近姻亲关系，包括配偶的父母、配偶的兄弟姐妹及其配偶、子女的配偶及子女配偶的父母、三代以内旁系血亲的配偶</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所称直接上下级领导关系包括：</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领导班子正职与副职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同一内设机构正职与副职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上级正职、副职与下级正职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单位无内设机构的，其正职、副职与其他管理人员以及从事审计、财务工作的专业技术人员</w:t>
      </w:r>
      <w:r>
        <w:rPr>
          <w:rFonts w:ascii="仿宋_GB2312" w:eastAsia="仿宋_GB2312"/>
          <w:color w:val="auto"/>
          <w:sz w:val="32"/>
          <w:szCs w:val="32"/>
          <w:highlight w:val="none"/>
          <w:u w:val="none"/>
        </w:rPr>
        <w:t>;</w:t>
      </w:r>
    </w:p>
    <w:p>
      <w:pPr>
        <w:ind w:firstLine="640" w:firstLineChars="200"/>
        <w:rPr>
          <w:rFonts w:hint="eastAsia"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从事招聘工作的人员</w:t>
      </w:r>
      <w:r>
        <w:rPr>
          <w:rFonts w:hint="eastAsia" w:ascii="仿宋_GB2312" w:eastAsia="仿宋_GB2312"/>
          <w:color w:val="auto"/>
          <w:sz w:val="32"/>
          <w:szCs w:val="32"/>
          <w:highlight w:val="none"/>
          <w:u w:val="none"/>
          <w:lang w:eastAsia="zh-CN"/>
        </w:rPr>
        <w:t>存在应当回避情形</w:t>
      </w:r>
      <w:r>
        <w:rPr>
          <w:rFonts w:hint="eastAsia" w:ascii="仿宋_GB2312" w:eastAsia="仿宋_GB2312"/>
          <w:color w:val="auto"/>
          <w:sz w:val="32"/>
          <w:szCs w:val="32"/>
          <w:highlight w:val="none"/>
          <w:u w:val="none"/>
        </w:rPr>
        <w:t>的，须实行履职回避。</w:t>
      </w:r>
    </w:p>
    <w:p>
      <w:pPr>
        <w:numPr>
          <w:ilvl w:val="0"/>
          <w:numId w:val="4"/>
        </w:numPr>
        <w:ind w:firstLine="643" w:firstLineChars="200"/>
        <w:outlineLvl w:val="0"/>
        <w:rPr>
          <w:rFonts w:hint="eastAsia" w:ascii="黑体" w:hAnsi="黑体" w:eastAsia="黑体"/>
          <w:b/>
          <w:bCs/>
          <w:color w:val="auto"/>
          <w:sz w:val="32"/>
          <w:szCs w:val="32"/>
          <w:highlight w:val="none"/>
          <w:lang w:eastAsia="zh-CN"/>
        </w:rPr>
      </w:pPr>
      <w:bookmarkStart w:id="14" w:name="_Toc3357"/>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14"/>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如无特别说明，相关年限的计算、证书取得时间等，均指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报名截止当月，即2024年4月</w:t>
      </w:r>
      <w:r>
        <w:rPr>
          <w:rFonts w:hint="eastAsia" w:ascii="仿宋_GB2312" w:eastAsia="仿宋_GB2312"/>
          <w:color w:val="auto"/>
          <w:sz w:val="32"/>
          <w:szCs w:val="32"/>
          <w:highlight w:val="none"/>
          <w:u w:val="none"/>
          <w:lang w:eastAsia="zh-CN"/>
        </w:rPr>
        <w:t>。</w:t>
      </w:r>
    </w:p>
    <w:p>
      <w:pPr>
        <w:numPr>
          <w:ilvl w:val="0"/>
          <w:numId w:val="5"/>
        </w:numPr>
        <w:ind w:firstLine="643" w:firstLineChars="200"/>
        <w:outlineLvl w:val="1"/>
        <w:rPr>
          <w:rFonts w:hint="eastAsia" w:ascii="楷体" w:hAnsi="楷体" w:eastAsia="楷体" w:cs="楷体"/>
          <w:b/>
          <w:bCs/>
          <w:color w:val="auto"/>
          <w:sz w:val="32"/>
          <w:szCs w:val="32"/>
          <w:highlight w:val="none"/>
        </w:rPr>
      </w:pPr>
      <w:bookmarkStart w:id="15" w:name="_Toc10414"/>
      <w:r>
        <w:rPr>
          <w:rFonts w:hint="eastAsia" w:ascii="楷体" w:hAnsi="楷体" w:eastAsia="楷体" w:cs="楷体"/>
          <w:b/>
          <w:bCs/>
          <w:color w:val="auto"/>
          <w:sz w:val="32"/>
          <w:szCs w:val="32"/>
          <w:highlight w:val="none"/>
        </w:rPr>
        <w:t>年龄</w:t>
      </w:r>
      <w:bookmarkEnd w:id="15"/>
    </w:p>
    <w:p>
      <w:pPr>
        <w:numPr>
          <w:ilvl w:val="0"/>
          <w:numId w:val="0"/>
        </w:num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最高年龄要求35周岁是指已满18周岁、未满36周岁</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在1988</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4</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2006年4月期间</w:t>
      </w:r>
      <w:r>
        <w:rPr>
          <w:rFonts w:hint="eastAsia" w:ascii="仿宋_GB2312" w:eastAsia="仿宋_GB2312"/>
          <w:color w:val="auto"/>
          <w:sz w:val="32"/>
          <w:szCs w:val="32"/>
          <w:highlight w:val="none"/>
          <w:u w:val="none"/>
        </w:rPr>
        <w:t>出生的人员</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，具体计算到月</w:t>
      </w:r>
      <w:r>
        <w:rPr>
          <w:rFonts w:hint="eastAsia" w:ascii="仿宋_GB2312" w:eastAsia="仿宋_GB2312"/>
          <w:color w:val="auto"/>
          <w:sz w:val="32"/>
          <w:szCs w:val="32"/>
          <w:highlight w:val="none"/>
          <w:u w:val="none"/>
        </w:rPr>
        <w:t>。</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lang w:eastAsia="zh-CN"/>
        </w:rPr>
        <w:t>其他年龄要求按此</w:t>
      </w:r>
      <w:r>
        <w:rPr>
          <w:rFonts w:hint="eastAsia" w:ascii="仿宋_GB2312" w:eastAsia="仿宋_GB2312"/>
          <w:color w:val="auto"/>
          <w:sz w:val="32"/>
          <w:szCs w:val="32"/>
          <w:highlight w:val="none"/>
          <w:u w:val="none"/>
        </w:rPr>
        <w:t>类推。</w:t>
      </w:r>
    </w:p>
    <w:p>
      <w:pPr>
        <w:numPr>
          <w:ilvl w:val="0"/>
          <w:numId w:val="5"/>
        </w:numPr>
        <w:ind w:firstLine="643" w:firstLineChars="200"/>
        <w:outlineLvl w:val="1"/>
        <w:rPr>
          <w:rFonts w:hint="eastAsia" w:ascii="楷体" w:hAnsi="楷体" w:eastAsia="楷体" w:cs="楷体"/>
          <w:b/>
          <w:bCs/>
          <w:color w:val="auto"/>
          <w:sz w:val="32"/>
          <w:szCs w:val="32"/>
          <w:highlight w:val="none"/>
        </w:rPr>
      </w:pPr>
      <w:bookmarkStart w:id="16" w:name="_Toc30299"/>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bookmarkEnd w:id="1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17" w:name="_Toc20649"/>
      <w:r>
        <w:rPr>
          <w:rFonts w:hint="eastAsia" w:ascii="黑体" w:hAnsi="黑体" w:eastAsia="黑体"/>
          <w:b/>
          <w:bCs/>
          <w:color w:val="auto"/>
          <w:sz w:val="32"/>
          <w:szCs w:val="32"/>
          <w:highlight w:val="none"/>
        </w:rPr>
        <w:t>学历（位）认定</w:t>
      </w:r>
      <w:bookmarkEnd w:id="17"/>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lang w:val="en-US" w:eastAsia="zh-CN"/>
        </w:rPr>
        <w:t>报考者的学历应为国家承认的国民教育序列学历。</w:t>
      </w:r>
    </w:p>
    <w:p>
      <w:pPr>
        <w:ind w:firstLine="643" w:firstLineChars="200"/>
        <w:outlineLvl w:val="1"/>
        <w:rPr>
          <w:rFonts w:hint="eastAsia" w:ascii="楷体" w:hAnsi="楷体" w:eastAsia="楷体"/>
          <w:b/>
          <w:color w:val="auto"/>
          <w:sz w:val="32"/>
          <w:szCs w:val="32"/>
          <w:highlight w:val="none"/>
          <w:u w:val="none"/>
          <w:lang w:eastAsia="zh-CN"/>
        </w:rPr>
      </w:pPr>
      <w:bookmarkStart w:id="18" w:name="_Toc19057"/>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bookmarkEnd w:id="18"/>
    </w:p>
    <w:p>
      <w:pPr>
        <w:ind w:firstLine="640" w:firstLineChars="200"/>
        <w:rPr>
          <w:rFonts w:hint="eastAsia" w:ascii="仿宋_GB2312" w:eastAsia="仿宋_GB2312"/>
          <w:strike/>
          <w:dstrike w:val="0"/>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strike w:val="0"/>
          <w:dstrike w:val="0"/>
          <w:color w:val="auto"/>
          <w:sz w:val="32"/>
          <w:szCs w:val="32"/>
          <w:highlight w:val="none"/>
          <w:u w:val="none"/>
        </w:rPr>
        <w:t>已取得国家承认的列入国民教育序列学历的报考者，以辅修专业报考的，其专业资格也可以按照本人同时收录在“学信网”“学信档案”版块“学历信息”和“学位信息”栏目的辅修专业信息予以认定。</w:t>
      </w:r>
    </w:p>
    <w:p>
      <w:pPr>
        <w:ind w:firstLine="643" w:firstLineChars="200"/>
        <w:outlineLvl w:val="1"/>
        <w:rPr>
          <w:rFonts w:hint="eastAsia" w:ascii="楷体" w:hAnsi="楷体" w:eastAsia="楷体"/>
          <w:b/>
          <w:color w:val="auto"/>
          <w:sz w:val="32"/>
          <w:szCs w:val="32"/>
          <w:highlight w:val="none"/>
          <w:u w:val="none"/>
        </w:rPr>
      </w:pPr>
      <w:bookmarkStart w:id="19" w:name="_Toc2804"/>
      <w:r>
        <w:rPr>
          <w:rFonts w:hint="eastAsia" w:ascii="楷体" w:hAnsi="楷体" w:eastAsia="楷体"/>
          <w:b/>
          <w:color w:val="auto"/>
          <w:sz w:val="32"/>
          <w:szCs w:val="32"/>
          <w:highlight w:val="none"/>
          <w:u w:val="none"/>
        </w:rPr>
        <w:t>（二）第二学士学位</w:t>
      </w:r>
      <w:bookmarkEnd w:id="19"/>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根据《教育部办公厅关于在普通高校继续开展第二学士学位教育的通知》（教高厅函〔2020〕9号）取得第二学士学位的毕业证书和学位证书，按上述要求进行查询认证。</w:t>
      </w:r>
    </w:p>
    <w:p>
      <w:pPr>
        <w:ind w:firstLine="643" w:firstLineChars="200"/>
        <w:outlineLvl w:val="1"/>
        <w:rPr>
          <w:rFonts w:hint="eastAsia"/>
          <w:color w:val="auto"/>
          <w:highlight w:val="none"/>
          <w:lang w:val="en-US" w:eastAsia="zh-CN"/>
        </w:rPr>
      </w:pPr>
      <w:bookmarkStart w:id="20" w:name="_Toc10245"/>
      <w:r>
        <w:rPr>
          <w:rFonts w:hint="eastAsia" w:ascii="楷体" w:hAnsi="楷体" w:eastAsia="楷体"/>
          <w:b/>
          <w:color w:val="auto"/>
          <w:sz w:val="32"/>
          <w:szCs w:val="32"/>
          <w:highlight w:val="none"/>
          <w:u w:val="none"/>
          <w:lang w:eastAsia="zh-CN"/>
        </w:rPr>
        <w:t>（三）境外学历（位）</w:t>
      </w:r>
      <w:bookmarkEnd w:id="20"/>
      <w:r>
        <w:rPr>
          <w:rFonts w:hint="eastAsia"/>
          <w:color w:val="auto"/>
          <w:highlight w:val="none"/>
          <w:lang w:val="en-US" w:eastAsia="zh-CN"/>
        </w:rPr>
        <w:t xml:space="preserve">  </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持境外学历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报考的，或者属于国内院校与国外院校联合办学取得境外学历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的，应提供教育部留学服务中心出具的有效证明材料。</w:t>
      </w:r>
    </w:p>
    <w:p>
      <w:pPr>
        <w:ind w:firstLine="643" w:firstLineChars="200"/>
        <w:outlineLvl w:val="1"/>
        <w:rPr>
          <w:rFonts w:hint="eastAsia" w:ascii="楷体" w:hAnsi="楷体" w:eastAsia="楷体"/>
          <w:b/>
          <w:color w:val="auto"/>
          <w:sz w:val="32"/>
          <w:szCs w:val="32"/>
          <w:highlight w:val="none"/>
          <w:u w:val="none"/>
        </w:rPr>
      </w:pPr>
      <w:bookmarkStart w:id="21" w:name="_Toc15473"/>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）我省“双学位”“双专业”学历</w:t>
      </w:r>
      <w:bookmarkEnd w:id="21"/>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600"/>
        <w:jc w:val="left"/>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3" w:firstLineChars="200"/>
        <w:outlineLvl w:val="1"/>
        <w:rPr>
          <w:rFonts w:hint="eastAsia" w:ascii="楷体" w:hAnsi="楷体" w:eastAsia="楷体"/>
          <w:b/>
          <w:color w:val="auto"/>
          <w:sz w:val="32"/>
          <w:szCs w:val="32"/>
          <w:highlight w:val="none"/>
          <w:u w:val="none"/>
          <w:lang w:eastAsia="zh-CN"/>
        </w:rPr>
      </w:pPr>
      <w:bookmarkStart w:id="22" w:name="_Toc26115"/>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五</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bookmarkEnd w:id="22"/>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1.</w:t>
      </w: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2.2024届高校毕业生</w:t>
      </w:r>
      <w:r>
        <w:rPr>
          <w:rFonts w:hint="eastAsia" w:ascii="仿宋_GB2312" w:eastAsia="仿宋_GB2312"/>
          <w:strike w:val="0"/>
          <w:dstrike w:val="0"/>
          <w:color w:val="auto"/>
          <w:sz w:val="32"/>
          <w:szCs w:val="32"/>
          <w:highlight w:val="none"/>
          <w:u w:val="none"/>
          <w:lang w:eastAsia="zh-CN"/>
        </w:rPr>
        <w:t>在岗位资格复核时，尚无法提供学历（位）证书及其认证材料原件的，须提供有效的</w:t>
      </w:r>
      <w:r>
        <w:rPr>
          <w:rFonts w:hint="eastAsia" w:ascii="仿宋_GB2312" w:eastAsia="仿宋_GB2312"/>
          <w:color w:val="auto"/>
          <w:sz w:val="32"/>
          <w:szCs w:val="32"/>
          <w:highlight w:val="none"/>
        </w:rPr>
        <w:t>《全国普通高等学校毕业生就业协议书》</w:t>
      </w:r>
      <w:r>
        <w:rPr>
          <w:rFonts w:hint="eastAsia" w:ascii="仿宋_GB2312" w:eastAsia="仿宋_GB2312"/>
          <w:color w:val="auto"/>
          <w:sz w:val="32"/>
          <w:szCs w:val="32"/>
          <w:highlight w:val="none"/>
          <w:lang w:eastAsia="zh-CN"/>
        </w:rPr>
        <w:t>或相关证明，且</w:t>
      </w:r>
      <w:r>
        <w:rPr>
          <w:rFonts w:hint="eastAsia" w:ascii="仿宋_GB2312" w:eastAsia="仿宋_GB2312"/>
          <w:strike w:val="0"/>
          <w:dstrike w:val="0"/>
          <w:color w:val="auto"/>
          <w:sz w:val="32"/>
          <w:szCs w:val="32"/>
          <w:highlight w:val="none"/>
          <w:u w:val="none"/>
          <w:lang w:eastAsia="zh-CN"/>
        </w:rPr>
        <w:t>须于2024年</w:t>
      </w:r>
      <w:r>
        <w:rPr>
          <w:rFonts w:hint="eastAsia" w:ascii="仿宋_GB2312" w:eastAsia="仿宋_GB2312"/>
          <w:strike w:val="0"/>
          <w:dstrike w:val="0"/>
          <w:color w:val="auto"/>
          <w:sz w:val="32"/>
          <w:szCs w:val="32"/>
          <w:highlight w:val="none"/>
          <w:u w:val="none"/>
          <w:lang w:val="en-US" w:eastAsia="zh-CN"/>
        </w:rPr>
        <w:t>12</w:t>
      </w:r>
      <w:r>
        <w:rPr>
          <w:rFonts w:hint="eastAsia" w:ascii="仿宋_GB2312" w:eastAsia="仿宋_GB2312"/>
          <w:strike w:val="0"/>
          <w:dstrike w:val="0"/>
          <w:color w:val="auto"/>
          <w:sz w:val="32"/>
          <w:szCs w:val="32"/>
          <w:highlight w:val="none"/>
          <w:u w:val="none"/>
          <w:lang w:eastAsia="zh-CN"/>
        </w:rPr>
        <w:t>月31日前取得并能提供符合岗位报考条件的相应学历(位)证书及其认证材料，否则视为自动放弃考试（聘用）资格。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23" w:name="_Toc30657"/>
      <w:r>
        <w:rPr>
          <w:rFonts w:hint="eastAsia" w:ascii="黑体" w:hAnsi="黑体" w:eastAsia="黑体"/>
          <w:b/>
          <w:bCs/>
          <w:color w:val="auto"/>
          <w:sz w:val="32"/>
          <w:szCs w:val="32"/>
          <w:highlight w:val="none"/>
        </w:rPr>
        <w:t>专业</w:t>
      </w:r>
      <w:bookmarkEnd w:id="23"/>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2024年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3" w:firstLineChars="200"/>
        <w:outlineLvl w:val="1"/>
        <w:rPr>
          <w:rFonts w:ascii="楷体" w:hAnsi="楷体" w:eastAsia="楷体"/>
          <w:b/>
          <w:color w:val="auto"/>
          <w:sz w:val="32"/>
          <w:szCs w:val="32"/>
          <w:highlight w:val="none"/>
        </w:rPr>
      </w:pPr>
      <w:bookmarkStart w:id="24" w:name="_Toc3675"/>
      <w:r>
        <w:rPr>
          <w:rFonts w:hint="eastAsia" w:ascii="楷体" w:hAnsi="楷体" w:eastAsia="楷体"/>
          <w:b/>
          <w:color w:val="auto"/>
          <w:sz w:val="32"/>
          <w:szCs w:val="32"/>
          <w:highlight w:val="none"/>
        </w:rPr>
        <w:t>（一）填报专业名称</w:t>
      </w:r>
      <w:bookmarkEnd w:id="24"/>
    </w:p>
    <w:p>
      <w:pPr>
        <w:ind w:firstLine="640" w:firstLineChars="200"/>
        <w:rPr>
          <w:rFonts w:hint="default" w:ascii="仿宋_GB2312" w:eastAsia="仿宋_GB2312"/>
          <w:color w:val="auto"/>
          <w:sz w:val="32"/>
          <w:szCs w:val="32"/>
          <w:highlight w:val="none"/>
        </w:rPr>
      </w:pPr>
      <w:r>
        <w:rPr>
          <w:rFonts w:hint="default" w:ascii="仿宋_GB2312" w:eastAsia="仿宋_GB2312"/>
          <w:color w:val="auto"/>
          <w:sz w:val="32"/>
          <w:szCs w:val="32"/>
          <w:highlight w:val="none"/>
          <w:lang w:val="en-US" w:eastAsia="zh-CN"/>
        </w:rPr>
        <w:t>专业以毕业证书上注明的为准，报考者应</w:t>
      </w:r>
      <w:r>
        <w:rPr>
          <w:rFonts w:hint="default" w:ascii="仿宋_GB2312" w:eastAsia="仿宋_GB2312"/>
          <w:b/>
          <w:bCs/>
          <w:color w:val="auto"/>
          <w:sz w:val="32"/>
          <w:szCs w:val="32"/>
          <w:highlight w:val="none"/>
          <w:lang w:val="en-US" w:eastAsia="zh-CN"/>
        </w:rPr>
        <w:t>只字不差、如实填写</w:t>
      </w:r>
      <w:r>
        <w:rPr>
          <w:rFonts w:hint="default" w:ascii="仿宋_GB2312" w:eastAsia="仿宋_GB2312"/>
          <w:color w:val="auto"/>
          <w:sz w:val="32"/>
          <w:szCs w:val="32"/>
          <w:highlight w:val="none"/>
          <w:lang w:val="en-US" w:eastAsia="zh-CN"/>
        </w:rPr>
        <w:t>。</w:t>
      </w:r>
    </w:p>
    <w:p>
      <w:pPr>
        <w:ind w:firstLine="640" w:firstLineChars="200"/>
        <w:rPr>
          <w:rFonts w:hint="default" w:ascii="仿宋_GB2312" w:eastAsia="仿宋_GB2312"/>
          <w:color w:val="auto"/>
          <w:sz w:val="32"/>
          <w:szCs w:val="32"/>
          <w:highlight w:val="none"/>
        </w:rPr>
      </w:pPr>
      <w:r>
        <w:rPr>
          <w:rFonts w:hint="default" w:ascii="仿宋_GB2312" w:eastAsia="仿宋_GB2312"/>
          <w:color w:val="auto"/>
          <w:sz w:val="32"/>
          <w:szCs w:val="32"/>
          <w:highlight w:val="none"/>
          <w:lang w:val="en-US" w:eastAsia="zh-CN"/>
        </w:rPr>
        <w:t>若所学专业在招生和培养时有专业方向、但未在毕业证书上体现的，应先按照毕业证书上注明的专业填写，并在网络报名系统的考生信息表备注栏中说明，再按照</w:t>
      </w:r>
      <w:r>
        <w:rPr>
          <w:rFonts w:hint="eastAsia" w:ascii="仿宋_GB2312" w:eastAsia="仿宋_GB2312"/>
          <w:color w:val="auto"/>
          <w:sz w:val="32"/>
          <w:szCs w:val="32"/>
          <w:highlight w:val="none"/>
          <w:lang w:val="en-US" w:eastAsia="zh-CN"/>
        </w:rPr>
        <w:t>招聘</w:t>
      </w:r>
      <w:r>
        <w:rPr>
          <w:rFonts w:hint="default" w:ascii="仿宋_GB2312" w:eastAsia="仿宋_GB2312"/>
          <w:color w:val="auto"/>
          <w:sz w:val="32"/>
          <w:szCs w:val="32"/>
          <w:highlight w:val="none"/>
          <w:lang w:val="en-US" w:eastAsia="zh-CN"/>
        </w:rPr>
        <w:t>单位要求提供学校教务部门出具的证明材料。</w:t>
      </w:r>
    </w:p>
    <w:p>
      <w:pPr>
        <w:ind w:firstLine="640" w:firstLineChars="200"/>
        <w:rPr>
          <w:rFonts w:hint="default" w:ascii="仿宋_GB2312" w:eastAsia="仿宋_GB2312"/>
          <w:color w:val="auto"/>
          <w:sz w:val="32"/>
          <w:szCs w:val="32"/>
          <w:highlight w:val="none"/>
        </w:rPr>
      </w:pPr>
      <w:r>
        <w:rPr>
          <w:rFonts w:hint="default" w:ascii="仿宋_GB2312" w:eastAsia="仿宋_GB2312"/>
          <w:color w:val="auto"/>
          <w:sz w:val="32"/>
          <w:szCs w:val="32"/>
          <w:highlight w:val="none"/>
          <w:lang w:val="en-US" w:eastAsia="zh-CN"/>
        </w:rPr>
        <w:t>以境外学历报考且专业名称为非汉语的，以教育部留学服务中心出具的相关证明为准。</w:t>
      </w:r>
    </w:p>
    <w:p>
      <w:pPr>
        <w:ind w:firstLine="643" w:firstLineChars="200"/>
        <w:outlineLvl w:val="1"/>
        <w:rPr>
          <w:rFonts w:ascii="楷体" w:hAnsi="楷体" w:eastAsia="楷体"/>
          <w:b/>
          <w:color w:val="auto"/>
          <w:sz w:val="32"/>
          <w:szCs w:val="32"/>
          <w:highlight w:val="none"/>
        </w:rPr>
      </w:pPr>
      <w:bookmarkStart w:id="25" w:name="_Toc16768"/>
      <w:r>
        <w:rPr>
          <w:rFonts w:hint="eastAsia" w:ascii="楷体" w:hAnsi="楷体" w:eastAsia="楷体"/>
          <w:b/>
          <w:color w:val="auto"/>
          <w:sz w:val="32"/>
          <w:szCs w:val="32"/>
          <w:highlight w:val="none"/>
        </w:rPr>
        <w:t>（二）专业与学历（位）的对应关系</w:t>
      </w:r>
      <w:bookmarkEnd w:id="25"/>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3" w:firstLineChars="200"/>
        <w:outlineLvl w:val="1"/>
        <w:rPr>
          <w:rFonts w:ascii="楷体" w:hAnsi="楷体" w:eastAsia="楷体"/>
          <w:b/>
          <w:color w:val="auto"/>
          <w:sz w:val="32"/>
          <w:szCs w:val="32"/>
          <w:highlight w:val="none"/>
        </w:rPr>
      </w:pPr>
      <w:bookmarkStart w:id="26" w:name="_Toc29668"/>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2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（其中区属事业单位还须经区组织人社部门，下同）</w:t>
      </w:r>
      <w:r>
        <w:rPr>
          <w:rFonts w:hint="eastAsia" w:ascii="仿宋_GB2312" w:eastAsia="仿宋_GB2312"/>
          <w:color w:val="auto"/>
          <w:sz w:val="32"/>
          <w:szCs w:val="32"/>
          <w:highlight w:val="none"/>
        </w:rPr>
        <w:t>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4"/>
        </w:numPr>
        <w:ind w:firstLine="643" w:firstLineChars="200"/>
        <w:outlineLvl w:val="0"/>
        <w:rPr>
          <w:rFonts w:hint="eastAsia" w:ascii="黑体" w:hAnsi="黑体" w:eastAsia="黑体"/>
          <w:b/>
          <w:bCs/>
          <w:color w:val="auto"/>
          <w:sz w:val="32"/>
          <w:szCs w:val="32"/>
          <w:highlight w:val="none"/>
        </w:rPr>
      </w:pPr>
      <w:bookmarkStart w:id="27" w:name="_Toc10032"/>
      <w:r>
        <w:rPr>
          <w:rFonts w:hint="eastAsia" w:ascii="黑体" w:hAnsi="黑体" w:eastAsia="黑体"/>
          <w:b/>
          <w:bCs/>
          <w:color w:val="auto"/>
          <w:sz w:val="32"/>
          <w:szCs w:val="32"/>
          <w:highlight w:val="none"/>
        </w:rPr>
        <w:t>工作经历（验）</w:t>
      </w:r>
      <w:bookmarkEnd w:id="27"/>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岗位资格条件要求的“工作经历”是指在党政机关、事业单位、社团组织，各类企业和非公有制单位及农村工作的经历。自谋职业、个体经营、职业见习等</w:t>
      </w:r>
      <w:r>
        <w:rPr>
          <w:rFonts w:hint="eastAsia" w:ascii="仿宋_GB2312" w:eastAsia="仿宋_GB2312"/>
          <w:color w:val="auto"/>
          <w:sz w:val="32"/>
          <w:szCs w:val="32"/>
          <w:highlight w:val="none"/>
          <w:lang w:eastAsia="zh-CN"/>
        </w:rPr>
        <w:t>灵活就业</w:t>
      </w:r>
      <w:r>
        <w:rPr>
          <w:rFonts w:hint="eastAsia" w:ascii="仿宋_GB2312" w:eastAsia="仿宋_GB2312"/>
          <w:color w:val="auto"/>
          <w:sz w:val="32"/>
          <w:szCs w:val="32"/>
          <w:highlight w:val="none"/>
        </w:rPr>
        <w:t>人员，也视为具有工作经历。</w:t>
      </w:r>
      <w:r>
        <w:rPr>
          <w:rFonts w:hint="eastAsia" w:ascii="仿宋_GB2312" w:eastAsia="仿宋_GB2312"/>
          <w:color w:val="auto"/>
          <w:sz w:val="32"/>
          <w:szCs w:val="32"/>
          <w:highlight w:val="none"/>
          <w:lang w:eastAsia="zh-CN"/>
        </w:rPr>
        <w:t>退役士兵在军队服现役经历可视为工作经历。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供养老保险缴费凭证或工资发放表等有效凭证、聘用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劳动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w:t>
      </w:r>
      <w:r>
        <w:rPr>
          <w:rFonts w:hint="eastAsia" w:ascii="仿宋_GB2312" w:eastAsia="仿宋_GB2312"/>
          <w:color w:val="auto"/>
          <w:sz w:val="32"/>
          <w:szCs w:val="32"/>
          <w:highlight w:val="none"/>
          <w:lang w:eastAsia="zh-CN"/>
        </w:rPr>
        <w:t>经人社部门</w:t>
      </w:r>
      <w:r>
        <w:rPr>
          <w:rFonts w:hint="eastAsia" w:ascii="仿宋_GB2312" w:eastAsia="仿宋_GB2312"/>
          <w:color w:val="auto"/>
          <w:sz w:val="32"/>
          <w:szCs w:val="32"/>
          <w:highlight w:val="none"/>
        </w:rPr>
        <w:t>核定的职业见习，若从事的工作与招聘岗位要求的专业工作经验相关，其毕业后的职业见习年限可视同工作经验年限。</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w:t>
      </w:r>
      <w:r>
        <w:rPr>
          <w:rFonts w:hint="eastAsia" w:ascii="仿宋_GB2312" w:eastAsia="仿宋_GB2312"/>
          <w:color w:val="auto"/>
          <w:sz w:val="32"/>
          <w:szCs w:val="32"/>
          <w:highlight w:val="none"/>
          <w:lang w:eastAsia="zh-CN"/>
        </w:rPr>
        <w:t>实习、</w:t>
      </w:r>
      <w:r>
        <w:rPr>
          <w:rFonts w:hint="eastAsia" w:ascii="仿宋_GB2312" w:eastAsia="仿宋_GB2312"/>
          <w:color w:val="auto"/>
          <w:sz w:val="32"/>
          <w:szCs w:val="32"/>
          <w:highlight w:val="none"/>
        </w:rPr>
        <w:t>社会实践经历(含兼职工作等)，不能视为工作经历(验)。</w:t>
      </w:r>
    </w:p>
    <w:p>
      <w:pPr>
        <w:ind w:firstLine="640" w:firstLineChars="200"/>
        <w:rPr>
          <w:rFonts w:hint="default"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highlight w:val="none"/>
          <w:u w:val="none"/>
        </w:rPr>
        <w:t>不同单位的相同（似）工作经历（验）证明可分别开具，累计计算。</w:t>
      </w:r>
    </w:p>
    <w:p>
      <w:pPr>
        <w:numPr>
          <w:ilvl w:val="0"/>
          <w:numId w:val="4"/>
        </w:numPr>
        <w:ind w:firstLine="643" w:firstLineChars="200"/>
        <w:outlineLvl w:val="0"/>
        <w:rPr>
          <w:rFonts w:hint="eastAsia" w:ascii="黑体" w:hAnsi="黑体" w:eastAsia="黑体"/>
          <w:b/>
          <w:bCs/>
          <w:strike/>
          <w:dstrike w:val="0"/>
          <w:color w:val="auto"/>
          <w:sz w:val="32"/>
          <w:szCs w:val="32"/>
          <w:highlight w:val="none"/>
        </w:rPr>
      </w:pPr>
      <w:bookmarkStart w:id="28" w:name="_Toc25619"/>
      <w:r>
        <w:rPr>
          <w:rFonts w:hint="eastAsia" w:ascii="黑体" w:hAnsi="黑体" w:eastAsia="黑体"/>
          <w:b/>
          <w:bCs/>
          <w:color w:val="auto"/>
          <w:sz w:val="32"/>
          <w:szCs w:val="32"/>
          <w:highlight w:val="none"/>
          <w:lang w:eastAsia="zh-CN"/>
        </w:rPr>
        <w:t>可免笔试情形</w:t>
      </w:r>
      <w:bookmarkEnd w:id="28"/>
    </w:p>
    <w:p>
      <w:pPr>
        <w:ind w:firstLine="640" w:firstLineChars="200"/>
        <w:rPr>
          <w:rFonts w:ascii="仿宋_GB2312" w:eastAsia="仿宋_GB2312"/>
          <w:color w:val="auto"/>
          <w:sz w:val="32"/>
          <w:szCs w:val="32"/>
          <w:highlight w:val="none"/>
        </w:rPr>
      </w:pPr>
      <w:bookmarkStart w:id="29" w:name="OLE_LINK1"/>
      <w:r>
        <w:rPr>
          <w:rFonts w:hint="eastAsia" w:ascii="仿宋_GB2312" w:eastAsia="仿宋_GB2312"/>
          <w:color w:val="auto"/>
          <w:sz w:val="32"/>
          <w:szCs w:val="32"/>
          <w:highlight w:val="none"/>
        </w:rPr>
        <w:t>招聘岗位要求研究生学历或硕士以上学位或副高以上</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的，招聘组织单位可根据实际情况，准许具有与招聘岗位</w:t>
      </w:r>
      <w:r>
        <w:rPr>
          <w:rFonts w:hint="eastAsia" w:ascii="仿宋_GB2312" w:eastAsia="仿宋_GB2312"/>
          <w:color w:val="auto"/>
          <w:sz w:val="32"/>
          <w:szCs w:val="32"/>
          <w:highlight w:val="none"/>
          <w:lang w:eastAsia="zh-CN"/>
        </w:rPr>
        <w:t>专业</w:t>
      </w:r>
      <w:r>
        <w:rPr>
          <w:rFonts w:hint="eastAsia" w:ascii="仿宋_GB2312" w:eastAsia="仿宋_GB2312"/>
          <w:color w:val="auto"/>
          <w:sz w:val="32"/>
          <w:szCs w:val="32"/>
          <w:highlight w:val="none"/>
        </w:rPr>
        <w:t>要求相一致的研究生学历或硕士以上学位</w:t>
      </w:r>
      <w:r>
        <w:rPr>
          <w:rFonts w:hint="eastAsia" w:ascii="仿宋_GB2312" w:eastAsia="仿宋_GB2312"/>
          <w:color w:val="auto"/>
          <w:sz w:val="32"/>
          <w:szCs w:val="32"/>
          <w:highlight w:val="none"/>
          <w:lang w:eastAsia="zh-CN"/>
        </w:rPr>
        <w:t>（含应届毕业生）</w:t>
      </w:r>
      <w:r>
        <w:rPr>
          <w:rFonts w:hint="eastAsia" w:ascii="仿宋_GB2312" w:eastAsia="仿宋_GB2312"/>
          <w:color w:val="auto"/>
          <w:sz w:val="32"/>
          <w:szCs w:val="32"/>
          <w:highlight w:val="none"/>
        </w:rPr>
        <w:t>或副高以上专业技术职务任职资格的应聘人员免笔试直接参加面试，但当岗位符合条件的报名人数（指通过网上报名资格审核的人数，下同）与拟聘用人数比例超过5:1（不含5:1）时，所有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免笔试岗位由招聘单位及其主管部门于报名结束后，根据具体情况及时提出并报市组织人社部门</w:t>
      </w:r>
      <w:r>
        <w:rPr>
          <w:rFonts w:hint="eastAsia" w:ascii="仿宋_GB2312" w:eastAsia="仿宋_GB2312"/>
          <w:color w:val="auto"/>
          <w:sz w:val="32"/>
          <w:szCs w:val="32"/>
          <w:highlight w:val="none"/>
          <w:lang w:eastAsia="zh-CN"/>
        </w:rPr>
        <w:t>汇总后</w:t>
      </w:r>
      <w:r>
        <w:rPr>
          <w:rFonts w:hint="eastAsia" w:ascii="仿宋_GB2312" w:eastAsia="仿宋_GB2312"/>
          <w:color w:val="auto"/>
          <w:sz w:val="32"/>
          <w:szCs w:val="32"/>
          <w:highlight w:val="none"/>
        </w:rPr>
        <w:t>统一公布。</w:t>
      </w:r>
    </w:p>
    <w:bookmarkEnd w:id="29"/>
    <w:p>
      <w:pPr>
        <w:numPr>
          <w:ilvl w:val="0"/>
          <w:numId w:val="4"/>
        </w:numPr>
        <w:ind w:firstLine="643" w:firstLineChars="200"/>
        <w:outlineLvl w:val="0"/>
        <w:rPr>
          <w:rFonts w:hint="eastAsia" w:ascii="黑体" w:hAnsi="黑体" w:eastAsia="黑体"/>
          <w:b/>
          <w:bCs/>
          <w:color w:val="auto"/>
          <w:sz w:val="32"/>
          <w:szCs w:val="32"/>
          <w:highlight w:val="none"/>
          <w:lang w:val="en-US" w:eastAsia="zh-CN"/>
        </w:rPr>
      </w:pPr>
      <w:bookmarkStart w:id="30" w:name="_Toc18048"/>
      <w:r>
        <w:rPr>
          <w:rFonts w:hint="eastAsia" w:ascii="黑体" w:hAnsi="黑体" w:eastAsia="黑体"/>
          <w:b/>
          <w:bCs/>
          <w:color w:val="auto"/>
          <w:sz w:val="32"/>
          <w:szCs w:val="32"/>
          <w:highlight w:val="none"/>
          <w:lang w:eastAsia="zh-CN"/>
        </w:rPr>
        <w:t>岗位开考比例</w:t>
      </w:r>
      <w:bookmarkEnd w:id="3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取消开考。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按要求取消开考、减少招聘人数的岗位由招聘单位及其主管部门研究提出意见，报备</w:t>
      </w:r>
      <w:r>
        <w:rPr>
          <w:rFonts w:hint="eastAsia" w:ascii="仿宋_GB2312" w:eastAsia="仿宋_GB2312"/>
          <w:color w:val="auto"/>
          <w:sz w:val="32"/>
          <w:szCs w:val="32"/>
          <w:highlight w:val="none"/>
          <w:lang w:eastAsia="zh-CN"/>
        </w:rPr>
        <w:t>市组织人社部门</w:t>
      </w:r>
      <w:r>
        <w:rPr>
          <w:rFonts w:hint="eastAsia" w:ascii="仿宋_GB2312" w:eastAsia="仿宋_GB2312"/>
          <w:color w:val="auto"/>
          <w:sz w:val="32"/>
          <w:szCs w:val="32"/>
          <w:highlight w:val="none"/>
        </w:rPr>
        <w:t>后在考务信息通知平台另行公告。情况特殊确需降低开考比例的岗位，由招聘单位及其主管部门研究提出意见，</w:t>
      </w:r>
      <w:r>
        <w:rPr>
          <w:rFonts w:hint="eastAsia" w:ascii="仿宋_GB2312" w:eastAsia="仿宋_GB2312"/>
          <w:color w:val="auto"/>
          <w:sz w:val="32"/>
          <w:szCs w:val="32"/>
          <w:highlight w:val="none"/>
          <w:lang w:eastAsia="zh-CN"/>
        </w:rPr>
        <w:t>报市组织人社部门</w:t>
      </w:r>
      <w:r>
        <w:rPr>
          <w:rFonts w:hint="eastAsia" w:ascii="仿宋_GB2312" w:eastAsia="仿宋_GB2312"/>
          <w:color w:val="auto"/>
          <w:sz w:val="32"/>
          <w:szCs w:val="32"/>
          <w:highlight w:val="none"/>
        </w:rPr>
        <w:t>批准后在考务信息通知平台另行公告。</w:t>
      </w:r>
    </w:p>
    <w:p>
      <w:pPr>
        <w:numPr>
          <w:ilvl w:val="0"/>
          <w:numId w:val="4"/>
        </w:numPr>
        <w:ind w:firstLine="643" w:firstLineChars="200"/>
        <w:outlineLvl w:val="0"/>
        <w:rPr>
          <w:rFonts w:hint="eastAsia" w:ascii="黑体" w:hAnsi="黑体" w:eastAsia="黑体"/>
          <w:b/>
          <w:bCs/>
          <w:color w:val="auto"/>
          <w:sz w:val="32"/>
          <w:szCs w:val="32"/>
          <w:highlight w:val="none"/>
        </w:rPr>
      </w:pPr>
      <w:bookmarkStart w:id="31" w:name="_Toc15271"/>
      <w:r>
        <w:rPr>
          <w:rFonts w:hint="eastAsia" w:ascii="黑体" w:hAnsi="黑体" w:eastAsia="黑体"/>
          <w:b/>
          <w:bCs/>
          <w:color w:val="auto"/>
          <w:sz w:val="32"/>
          <w:szCs w:val="32"/>
          <w:highlight w:val="none"/>
        </w:rPr>
        <w:t>笔试加分</w:t>
      </w:r>
      <w:bookmarkEnd w:id="31"/>
    </w:p>
    <w:p>
      <w:pPr>
        <w:ind w:firstLine="643" w:firstLineChars="200"/>
        <w:outlineLvl w:val="1"/>
        <w:rPr>
          <w:rFonts w:hint="eastAsia" w:ascii="楷体" w:hAnsi="楷体" w:eastAsia="楷体" w:cs="楷体"/>
          <w:b/>
          <w:bCs/>
          <w:color w:val="auto"/>
          <w:sz w:val="32"/>
          <w:szCs w:val="32"/>
          <w:highlight w:val="none"/>
          <w:lang w:eastAsia="zh-CN"/>
        </w:rPr>
      </w:pPr>
      <w:bookmarkStart w:id="32" w:name="_Toc4058"/>
      <w:r>
        <w:rPr>
          <w:rFonts w:hint="eastAsia" w:ascii="楷体" w:hAnsi="楷体" w:eastAsia="楷体" w:cs="楷体"/>
          <w:b/>
          <w:bCs/>
          <w:color w:val="auto"/>
          <w:sz w:val="32"/>
          <w:szCs w:val="32"/>
          <w:highlight w:val="none"/>
          <w:lang w:eastAsia="zh-CN"/>
        </w:rPr>
        <w:t>（一）加分原则</w:t>
      </w:r>
      <w:bookmarkEnd w:id="32"/>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w:t>
      </w:r>
      <w:r>
        <w:rPr>
          <w:rFonts w:hint="eastAsia" w:ascii="仿宋_GB2312" w:eastAsia="仿宋_GB2312"/>
          <w:color w:val="auto"/>
          <w:sz w:val="32"/>
          <w:szCs w:val="32"/>
          <w:highlight w:val="none"/>
          <w:lang w:eastAsia="zh-CN"/>
        </w:rPr>
        <w:t>专业测试、</w:t>
      </w:r>
      <w:r>
        <w:rPr>
          <w:rFonts w:hint="eastAsia" w:ascii="仿宋_GB2312" w:eastAsia="仿宋_GB2312"/>
          <w:color w:val="auto"/>
          <w:sz w:val="32"/>
          <w:szCs w:val="32"/>
          <w:highlight w:val="none"/>
        </w:rPr>
        <w:t>面试环节不享受加分。加分不受笔试满分限制。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曾通过享受政策待遇被录（聘）为公务员或事业单位编内工作人员的，不再享受报考事业单位加分和专门</w:t>
      </w:r>
      <w:r>
        <w:rPr>
          <w:rFonts w:hint="eastAsia" w:ascii="仿宋_GB2312" w:eastAsia="仿宋_GB2312"/>
          <w:color w:val="auto"/>
          <w:sz w:val="32"/>
          <w:szCs w:val="32"/>
          <w:highlight w:val="none"/>
          <w:lang w:eastAsia="zh-CN"/>
        </w:rPr>
        <w:t>岗</w:t>
      </w:r>
      <w:r>
        <w:rPr>
          <w:rFonts w:hint="eastAsia" w:ascii="仿宋_GB2312" w:eastAsia="仿宋_GB2312"/>
          <w:color w:val="auto"/>
          <w:sz w:val="32"/>
          <w:szCs w:val="32"/>
          <w:highlight w:val="none"/>
        </w:rPr>
        <w:t>位招考优惠政策。</w:t>
      </w:r>
    </w:p>
    <w:p>
      <w:pPr>
        <w:ind w:firstLine="643" w:firstLineChars="200"/>
        <w:outlineLvl w:val="1"/>
        <w:rPr>
          <w:rFonts w:hint="eastAsia" w:ascii="楷体" w:hAnsi="楷体" w:eastAsia="楷体" w:cs="楷体"/>
          <w:b/>
          <w:bCs/>
          <w:color w:val="auto"/>
          <w:sz w:val="32"/>
          <w:szCs w:val="32"/>
          <w:highlight w:val="none"/>
          <w:lang w:eastAsia="zh-CN"/>
        </w:rPr>
      </w:pPr>
      <w:bookmarkStart w:id="33" w:name="_Toc7546"/>
      <w:r>
        <w:rPr>
          <w:rFonts w:hint="eastAsia" w:ascii="楷体" w:hAnsi="楷体" w:eastAsia="楷体" w:cs="楷体"/>
          <w:b/>
          <w:bCs/>
          <w:color w:val="auto"/>
          <w:sz w:val="32"/>
          <w:szCs w:val="32"/>
          <w:highlight w:val="none"/>
          <w:lang w:eastAsia="zh-CN"/>
        </w:rPr>
        <w:t>（二）加分对象</w:t>
      </w:r>
      <w:bookmarkEnd w:id="33"/>
    </w:p>
    <w:p>
      <w:pPr>
        <w:ind w:firstLine="640" w:firstLineChars="200"/>
        <w:rPr>
          <w:rFonts w:hint="eastAsia" w:ascii="仿宋_GB2312" w:eastAsia="仿宋_GB2312"/>
          <w:strike/>
          <w:dstrike w:val="0"/>
          <w:color w:val="auto"/>
          <w:sz w:val="32"/>
          <w:szCs w:val="32"/>
          <w:highlight w:val="none"/>
          <w:lang w:eastAsia="zh-CN"/>
        </w:rPr>
      </w:pPr>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eastAsia="zh-CN"/>
        </w:rPr>
      </w:pPr>
      <w:bookmarkStart w:id="34" w:name="_Toc9822"/>
      <w:bookmarkStart w:id="35" w:name="_Toc13976"/>
      <w:bookmarkStart w:id="36" w:name="_Toc15632"/>
      <w:bookmarkStart w:id="37" w:name="_Toc9098"/>
      <w:bookmarkStart w:id="38" w:name="_Toc10848"/>
      <w:bookmarkStart w:id="39" w:name="_Toc17898"/>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34"/>
      <w:bookmarkEnd w:id="35"/>
      <w:bookmarkEnd w:id="36"/>
      <w:bookmarkEnd w:id="37"/>
      <w:bookmarkEnd w:id="38"/>
      <w:bookmarkEnd w:id="39"/>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2024年12月31日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当年服务行将期满考核合格和服务期满考核合格的“乡村振兴计划”大学生志愿者，</w:t>
      </w:r>
      <w:r>
        <w:rPr>
          <w:rFonts w:hint="eastAsia" w:ascii="仿宋_GB2312" w:eastAsia="仿宋_GB2312"/>
          <w:color w:val="auto"/>
          <w:sz w:val="32"/>
          <w:szCs w:val="32"/>
          <w:highlight w:val="none"/>
        </w:rPr>
        <w:t>报考市属事业单位笔试卷面分加3分，报考区属事业单位笔试卷面分加5分</w:t>
      </w:r>
      <w:r>
        <w:rPr>
          <w:rFonts w:hint="eastAsia" w:ascii="仿宋_GB2312" w:eastAsia="仿宋_GB2312"/>
          <w:color w:val="auto"/>
          <w:sz w:val="32"/>
          <w:szCs w:val="32"/>
          <w:highlight w:val="none"/>
          <w:lang w:eastAsia="zh-CN"/>
        </w:rPr>
        <w:t>。</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40" w:name="_Toc17686"/>
      <w:bookmarkStart w:id="41" w:name="_Toc22049"/>
      <w:bookmarkStart w:id="42" w:name="_Toc12368"/>
      <w:bookmarkStart w:id="43" w:name="_Toc3463"/>
      <w:bookmarkStart w:id="44" w:name="_Toc24980"/>
      <w:bookmarkStart w:id="45" w:name="_Toc1747"/>
      <w:r>
        <w:rPr>
          <w:rFonts w:hint="eastAsia" w:ascii="仿宋_GB2312" w:hAnsi="仿宋_GB2312" w:eastAsia="仿宋_GB2312" w:cs="仿宋_GB2312"/>
          <w:b/>
          <w:bCs/>
          <w:color w:val="auto"/>
          <w:sz w:val="32"/>
          <w:szCs w:val="32"/>
          <w:highlight w:val="none"/>
          <w:lang w:val="en-US" w:eastAsia="zh-CN"/>
        </w:rPr>
        <w:t>2.退役士兵（含大学生退役士兵）</w:t>
      </w:r>
      <w:bookmarkEnd w:id="40"/>
      <w:bookmarkEnd w:id="41"/>
      <w:bookmarkEnd w:id="42"/>
      <w:bookmarkEnd w:id="43"/>
      <w:bookmarkEnd w:id="44"/>
      <w:bookmarkEnd w:id="4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46" w:name="_Toc4274"/>
      <w:bookmarkStart w:id="47" w:name="_Toc5502"/>
      <w:bookmarkStart w:id="48" w:name="_Toc31915"/>
      <w:bookmarkStart w:id="49" w:name="_Toc15434"/>
      <w:r>
        <w:rPr>
          <w:rFonts w:hint="eastAsia" w:ascii="仿宋_GB2312" w:hAnsi="仿宋_GB2312" w:eastAsia="仿宋_GB2312" w:cs="仿宋_GB2312"/>
          <w:b/>
          <w:bCs/>
          <w:color w:val="auto"/>
          <w:sz w:val="32"/>
          <w:szCs w:val="32"/>
          <w:highlight w:val="none"/>
          <w:lang w:val="en-US" w:eastAsia="zh-CN"/>
        </w:rPr>
        <w:t>3.退役优秀运动员</w:t>
      </w:r>
      <w:bookmarkEnd w:id="46"/>
      <w:bookmarkEnd w:id="47"/>
      <w:bookmarkEnd w:id="48"/>
      <w:bookmarkEnd w:id="49"/>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曾获得世界体育三大比赛（奥运会、世锦赛、世界杯）第2</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6名，亚洲体育三大比赛（亚运会、亚锦赛、亚洲杯）或全运会第2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3名，全国锦标赛、全国冠军赛或篮球、排球、足球全国职业联赛第1名的</w:t>
      </w:r>
      <w:r>
        <w:rPr>
          <w:rFonts w:hint="eastAsia" w:ascii="仿宋_GB2312" w:eastAsia="仿宋_GB2312"/>
          <w:color w:val="auto"/>
          <w:sz w:val="32"/>
          <w:szCs w:val="32"/>
          <w:highlight w:val="none"/>
          <w:lang w:eastAsia="zh-CN"/>
        </w:rPr>
        <w:t>运动员</w:t>
      </w:r>
      <w:r>
        <w:rPr>
          <w:rFonts w:hint="eastAsia" w:ascii="仿宋_GB2312" w:eastAsia="仿宋_GB2312"/>
          <w:color w:val="auto"/>
          <w:sz w:val="32"/>
          <w:szCs w:val="32"/>
          <w:highlight w:val="none"/>
        </w:rPr>
        <w:t>，加9分；获得省运动会冠军，全国锦标赛、冠军赛或篮球、排球、足球全国职业联赛第2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3名，亚洲体育三大比赛（亚运会、亚锦赛、亚洲杯）第4至第6名的</w:t>
      </w:r>
      <w:r>
        <w:rPr>
          <w:rFonts w:hint="eastAsia" w:ascii="仿宋_GB2312" w:eastAsia="仿宋_GB2312"/>
          <w:color w:val="auto"/>
          <w:sz w:val="32"/>
          <w:szCs w:val="32"/>
          <w:highlight w:val="none"/>
          <w:lang w:eastAsia="zh-CN"/>
        </w:rPr>
        <w:t>运动员</w:t>
      </w:r>
      <w:r>
        <w:rPr>
          <w:rFonts w:hint="eastAsia" w:ascii="仿宋_GB2312" w:eastAsia="仿宋_GB2312"/>
          <w:color w:val="auto"/>
          <w:sz w:val="32"/>
          <w:szCs w:val="32"/>
          <w:highlight w:val="none"/>
        </w:rPr>
        <w:t>，加7分。</w:t>
      </w:r>
    </w:p>
    <w:p>
      <w:pPr>
        <w:ind w:firstLine="643" w:firstLineChars="200"/>
        <w:outlineLvl w:val="1"/>
        <w:rPr>
          <w:rFonts w:hint="eastAsia" w:ascii="楷体" w:hAnsi="楷体" w:eastAsia="楷体" w:cs="楷体"/>
          <w:b/>
          <w:bCs/>
          <w:color w:val="auto"/>
          <w:sz w:val="32"/>
          <w:szCs w:val="32"/>
          <w:highlight w:val="none"/>
          <w:lang w:eastAsia="zh-CN"/>
        </w:rPr>
      </w:pPr>
      <w:bookmarkStart w:id="50" w:name="_Toc31427"/>
      <w:bookmarkStart w:id="51" w:name="_Toc30306"/>
      <w:r>
        <w:rPr>
          <w:rFonts w:hint="eastAsia" w:ascii="楷体" w:hAnsi="楷体" w:eastAsia="楷体" w:cs="楷体"/>
          <w:b/>
          <w:bCs/>
          <w:color w:val="auto"/>
          <w:sz w:val="32"/>
          <w:szCs w:val="32"/>
          <w:highlight w:val="none"/>
          <w:lang w:eastAsia="zh-CN"/>
        </w:rPr>
        <w:t>（三）加分证明材料</w:t>
      </w:r>
      <w:bookmarkEnd w:id="50"/>
      <w:bookmarkEnd w:id="5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w:t>
      </w:r>
      <w:r>
        <w:rPr>
          <w:rFonts w:hint="eastAsia" w:ascii="仿宋_GB2312" w:eastAsia="仿宋_GB2312"/>
          <w:color w:val="auto"/>
          <w:sz w:val="32"/>
          <w:szCs w:val="32"/>
          <w:highlight w:val="none"/>
          <w:lang w:val="en-US" w:eastAsia="zh-CN"/>
        </w:rPr>
        <w:t>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w:t>
      </w:r>
    </w:p>
    <w:p>
      <w:pPr>
        <w:numPr>
          <w:ilvl w:val="0"/>
          <w:numId w:val="4"/>
        </w:numPr>
        <w:ind w:firstLine="643" w:firstLineChars="200"/>
        <w:outlineLvl w:val="0"/>
        <w:rPr>
          <w:rFonts w:hint="eastAsia" w:ascii="黑体" w:hAnsi="黑体" w:eastAsia="黑体"/>
          <w:b/>
          <w:bCs/>
          <w:color w:val="auto"/>
          <w:sz w:val="32"/>
          <w:szCs w:val="32"/>
          <w:highlight w:val="none"/>
        </w:rPr>
      </w:pPr>
      <w:bookmarkStart w:id="52" w:name="_Toc18766"/>
      <w:r>
        <w:rPr>
          <w:rFonts w:hint="eastAsia" w:ascii="黑体" w:hAnsi="黑体" w:eastAsia="黑体"/>
          <w:b/>
          <w:bCs/>
          <w:color w:val="auto"/>
          <w:sz w:val="32"/>
          <w:szCs w:val="32"/>
          <w:highlight w:val="none"/>
        </w:rPr>
        <w:t>综合总分计算</w:t>
      </w:r>
      <w:bookmarkEnd w:id="5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（一）无专业测试、免笔试参加面试的：综合总分=面试成绩。</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（二）无专业测试</w:t>
      </w:r>
      <w:r>
        <w:rPr>
          <w:rFonts w:hint="eastAsia" w:ascii="仿宋_GB2312" w:eastAsia="仿宋_GB2312"/>
          <w:color w:val="auto"/>
          <w:sz w:val="32"/>
          <w:szCs w:val="32"/>
          <w:highlight w:val="none"/>
          <w:u w:val="none"/>
          <w:lang w:eastAsia="zh-CN"/>
        </w:rPr>
        <w:t>、有笔试和面试</w:t>
      </w:r>
      <w:r>
        <w:rPr>
          <w:rFonts w:hint="eastAsia" w:ascii="仿宋_GB2312" w:eastAsia="仿宋_GB2312"/>
          <w:color w:val="auto"/>
          <w:sz w:val="32"/>
          <w:szCs w:val="32"/>
          <w:highlight w:val="none"/>
        </w:rPr>
        <w:t>的：综合总分=笔试成绩×50%+面试成绩×50%。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（三）有专业测试、免笔试参加面试的：综合总分=专业测试成绩×50%+面试成绩×50%。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（四）有笔试、专业测试和面试的：综合总分=笔试成绩×40%+专业测试成绩×30%+面试成绩×30%。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笔试成绩、专业测试成绩、面试成绩、综合总分均采用四舍五入方式取小数点后2位（必要时可增加小数点位数）。对于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spacing w:line="360" w:lineRule="auto"/>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（二）若笔试成绩相同，按面试</w:t>
      </w:r>
      <w:r>
        <w:rPr>
          <w:rFonts w:hint="eastAsia" w:ascii="仿宋_GB2312" w:eastAsia="仿宋_GB2312"/>
          <w:color w:val="auto"/>
          <w:sz w:val="32"/>
          <w:szCs w:val="32"/>
          <w:highlight w:val="none"/>
          <w:lang w:eastAsia="zh-CN"/>
        </w:rPr>
        <w:t>实际</w:t>
      </w:r>
      <w:r>
        <w:rPr>
          <w:rFonts w:hint="eastAsia" w:ascii="仿宋_GB2312" w:eastAsia="仿宋_GB2312"/>
          <w:color w:val="auto"/>
          <w:sz w:val="32"/>
          <w:szCs w:val="32"/>
          <w:highlight w:val="none"/>
        </w:rPr>
        <w:t>成绩</w:t>
      </w:r>
      <w:r>
        <w:rPr>
          <w:rFonts w:hint="eastAsia" w:ascii="仿宋_GB2312" w:eastAsia="仿宋_GB2312"/>
          <w:color w:val="auto"/>
          <w:sz w:val="32"/>
          <w:szCs w:val="32"/>
          <w:highlight w:val="none"/>
          <w:lang w:eastAsia="zh-CN"/>
        </w:rPr>
        <w:t>（追溯小数点位数）从高到低</w:t>
      </w:r>
      <w:r>
        <w:rPr>
          <w:rFonts w:hint="eastAsia" w:ascii="仿宋_GB2312" w:eastAsia="仿宋_GB2312"/>
          <w:color w:val="auto"/>
          <w:sz w:val="32"/>
          <w:szCs w:val="32"/>
          <w:highlight w:val="none"/>
        </w:rPr>
        <w:t>排列；</w:t>
      </w:r>
    </w:p>
    <w:p>
      <w:pPr>
        <w:spacing w:line="360" w:lineRule="auto"/>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符合国家、福建省或厦门市文件规定优先对象的，</w:t>
      </w:r>
      <w:r>
        <w:rPr>
          <w:rFonts w:hint="eastAsia" w:ascii="仿宋_GB2312" w:eastAsia="仿宋_GB2312"/>
          <w:color w:val="auto"/>
          <w:sz w:val="32"/>
          <w:szCs w:val="32"/>
          <w:highlight w:val="none"/>
        </w:rPr>
        <w:t>优先进入体检环节。若无优先对象，由面试组织部门</w:t>
      </w:r>
      <w:r>
        <w:rPr>
          <w:rFonts w:hint="eastAsia" w:ascii="仿宋_GB2312" w:eastAsia="仿宋_GB2312"/>
          <w:color w:val="auto"/>
          <w:sz w:val="32"/>
          <w:szCs w:val="32"/>
          <w:highlight w:val="none"/>
          <w:lang w:eastAsia="zh-CN"/>
        </w:rPr>
        <w:t>重新组织面试</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按成绩从高到低确定体检人选</w:t>
      </w:r>
      <w:r>
        <w:rPr>
          <w:rFonts w:hint="eastAsia" w:ascii="仿宋_GB2312" w:eastAsia="仿宋_GB2312"/>
          <w:color w:val="auto"/>
          <w:sz w:val="32"/>
          <w:szCs w:val="32"/>
          <w:highlight w:val="none"/>
        </w:rPr>
        <w:t>。</w:t>
      </w:r>
    </w:p>
    <w:p>
      <w:pPr>
        <w:spacing w:line="360" w:lineRule="auto"/>
        <w:ind w:firstLine="640" w:firstLineChars="200"/>
        <w:rPr>
          <w:rFonts w:ascii="仿宋_GB2312" w:eastAsia="仿宋_GB2312"/>
          <w:color w:val="auto"/>
          <w:sz w:val="32"/>
          <w:szCs w:val="32"/>
          <w:highlight w:val="none"/>
        </w:rPr>
      </w:pPr>
    </w:p>
    <w:p>
      <w:pPr>
        <w:numPr>
          <w:ilvl w:val="0"/>
          <w:numId w:val="4"/>
        </w:numPr>
        <w:ind w:firstLine="643" w:firstLineChars="200"/>
        <w:outlineLvl w:val="0"/>
        <w:rPr>
          <w:rFonts w:hint="eastAsia" w:ascii="黑体" w:hAnsi="黑体" w:eastAsia="黑体"/>
          <w:b/>
          <w:bCs/>
          <w:color w:val="auto"/>
          <w:sz w:val="32"/>
          <w:szCs w:val="32"/>
          <w:highlight w:val="none"/>
        </w:rPr>
      </w:pPr>
      <w:bookmarkStart w:id="53" w:name="_Toc7460"/>
      <w:r>
        <w:rPr>
          <w:rFonts w:hint="eastAsia" w:ascii="黑体" w:hAnsi="黑体" w:eastAsia="黑体"/>
          <w:b/>
          <w:bCs/>
          <w:color w:val="auto"/>
          <w:sz w:val="32"/>
          <w:szCs w:val="32"/>
          <w:highlight w:val="none"/>
        </w:rPr>
        <w:t>体检和考察</w:t>
      </w:r>
      <w:bookmarkEnd w:id="53"/>
    </w:p>
    <w:p>
      <w:pPr>
        <w:ind w:firstLine="643" w:firstLineChars="200"/>
        <w:outlineLvl w:val="1"/>
        <w:rPr>
          <w:rFonts w:ascii="楷体" w:hAnsi="楷体" w:eastAsia="楷体"/>
          <w:b/>
          <w:color w:val="auto"/>
          <w:sz w:val="32"/>
          <w:szCs w:val="32"/>
          <w:highlight w:val="none"/>
        </w:rPr>
      </w:pPr>
      <w:bookmarkStart w:id="54" w:name="_Toc29230"/>
      <w:r>
        <w:rPr>
          <w:rFonts w:hint="eastAsia" w:ascii="楷体" w:hAnsi="楷体" w:eastAsia="楷体"/>
          <w:b/>
          <w:color w:val="auto"/>
          <w:sz w:val="32"/>
          <w:szCs w:val="32"/>
          <w:highlight w:val="none"/>
        </w:rPr>
        <w:t>（一）确定体检人选</w:t>
      </w:r>
      <w:bookmarkEnd w:id="54"/>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从笔试、面试、专业测试成绩和综合总分均合格者中，根据综合总分排名顺序，按岗位拟招聘人数1:1的比例从高分至低分确定体检人选。</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体检对象属于机关事业单位在编人员</w:t>
      </w:r>
      <w:r>
        <w:rPr>
          <w:rFonts w:hint="eastAsia" w:ascii="仿宋_GB2312" w:eastAsia="仿宋_GB2312"/>
          <w:color w:val="auto"/>
          <w:sz w:val="32"/>
          <w:szCs w:val="32"/>
          <w:highlight w:val="none"/>
          <w:lang w:eastAsia="zh-CN"/>
        </w:rPr>
        <w:t>或国有企业在职人员</w:t>
      </w:r>
      <w:r>
        <w:rPr>
          <w:rFonts w:hint="eastAsia" w:ascii="仿宋_GB2312" w:eastAsia="仿宋_GB2312"/>
          <w:color w:val="auto"/>
          <w:sz w:val="32"/>
          <w:szCs w:val="32"/>
          <w:highlight w:val="none"/>
        </w:rPr>
        <w:t>的，应于体检前向招聘单位主管部门提交同意报考材料（包括同意报考证明或同意辞职证明或同意解除聘用、劳动合同证明）。其中，机关事业单位在编人员应按干部管理权限提交属地组织人事部门或主管部门出具的同意报考材料；国有企业在职人员须提交所在单位出具的同意报考材料。</w:t>
      </w:r>
    </w:p>
    <w:p>
      <w:pPr>
        <w:ind w:firstLine="643" w:firstLineChars="200"/>
        <w:outlineLvl w:val="1"/>
        <w:rPr>
          <w:rFonts w:hint="eastAsia" w:ascii="楷体" w:hAnsi="楷体" w:eastAsia="楷体"/>
          <w:b/>
          <w:color w:val="auto"/>
          <w:sz w:val="32"/>
          <w:szCs w:val="32"/>
          <w:highlight w:val="none"/>
          <w:lang w:eastAsia="zh-CN"/>
        </w:rPr>
      </w:pPr>
      <w:bookmarkStart w:id="55" w:name="_Toc5279"/>
      <w:r>
        <w:rPr>
          <w:rFonts w:hint="eastAsia" w:ascii="楷体" w:hAnsi="楷体" w:eastAsia="楷体"/>
          <w:b/>
          <w:color w:val="auto"/>
          <w:sz w:val="32"/>
          <w:szCs w:val="32"/>
          <w:highlight w:val="none"/>
        </w:rPr>
        <w:t>（二）组织体检</w:t>
      </w:r>
      <w:bookmarkEnd w:id="55"/>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市</w:t>
      </w:r>
      <w:r>
        <w:rPr>
          <w:rFonts w:hint="eastAsia" w:ascii="仿宋_GB2312" w:eastAsia="仿宋_GB2312"/>
          <w:color w:val="auto"/>
          <w:sz w:val="32"/>
          <w:szCs w:val="32"/>
          <w:highlight w:val="none"/>
          <w:lang w:eastAsia="zh-CN"/>
        </w:rPr>
        <w:t>属</w:t>
      </w:r>
      <w:r>
        <w:rPr>
          <w:rFonts w:hint="eastAsia" w:ascii="仿宋_GB2312" w:eastAsia="仿宋_GB2312"/>
          <w:color w:val="auto"/>
          <w:sz w:val="32"/>
          <w:szCs w:val="32"/>
          <w:highlight w:val="none"/>
        </w:rPr>
        <w:t>事业单位体检由招聘单位及其主管部门负责；</w:t>
      </w:r>
      <w:r>
        <w:rPr>
          <w:rFonts w:hint="eastAsia" w:ascii="仿宋_GB2312" w:eastAsia="仿宋_GB2312"/>
          <w:color w:val="auto"/>
          <w:sz w:val="32"/>
          <w:szCs w:val="32"/>
          <w:highlight w:val="none"/>
          <w:lang w:eastAsia="zh-CN"/>
        </w:rPr>
        <w:t>区属</w:t>
      </w:r>
      <w:r>
        <w:rPr>
          <w:rFonts w:hint="eastAsia" w:ascii="仿宋_GB2312" w:eastAsia="仿宋_GB2312"/>
          <w:color w:val="auto"/>
          <w:sz w:val="32"/>
          <w:szCs w:val="32"/>
          <w:highlight w:val="none"/>
        </w:rPr>
        <w:t>事业单位体检由各</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组织人事部门负责</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ind w:firstLine="643" w:firstLineChars="200"/>
        <w:outlineLvl w:val="1"/>
        <w:rPr>
          <w:rFonts w:ascii="楷体" w:hAnsi="楷体" w:eastAsia="楷体"/>
          <w:b/>
          <w:color w:val="auto"/>
          <w:sz w:val="32"/>
          <w:szCs w:val="32"/>
          <w:highlight w:val="none"/>
        </w:rPr>
      </w:pPr>
      <w:bookmarkStart w:id="56" w:name="_Toc20240"/>
      <w:r>
        <w:rPr>
          <w:rFonts w:hint="eastAsia" w:ascii="楷体" w:hAnsi="楷体" w:eastAsia="楷体"/>
          <w:b/>
          <w:color w:val="auto"/>
          <w:sz w:val="32"/>
          <w:szCs w:val="32"/>
          <w:highlight w:val="none"/>
        </w:rPr>
        <w:t>（三）体检依据</w:t>
      </w:r>
      <w:bookmarkEnd w:id="5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体检医院由招聘单位和主管部门根据要求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ind w:firstLine="643" w:firstLineChars="200"/>
        <w:outlineLvl w:val="1"/>
        <w:rPr>
          <w:rFonts w:ascii="楷体" w:hAnsi="楷体" w:eastAsia="楷体"/>
          <w:b/>
          <w:color w:val="auto"/>
          <w:sz w:val="32"/>
          <w:szCs w:val="32"/>
          <w:highlight w:val="none"/>
        </w:rPr>
      </w:pPr>
      <w:bookmarkStart w:id="57" w:name="_Toc26403"/>
      <w:r>
        <w:rPr>
          <w:rFonts w:hint="eastAsia" w:ascii="楷体" w:hAnsi="楷体" w:eastAsia="楷体"/>
          <w:b/>
          <w:color w:val="auto"/>
          <w:sz w:val="32"/>
          <w:szCs w:val="32"/>
          <w:highlight w:val="none"/>
        </w:rPr>
        <w:t>（四）体检复检</w:t>
      </w:r>
      <w:bookmarkEnd w:id="57"/>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3" w:firstLineChars="200"/>
        <w:outlineLvl w:val="1"/>
        <w:rPr>
          <w:rFonts w:hint="eastAsia" w:ascii="楷体" w:hAnsi="楷体" w:eastAsia="楷体"/>
          <w:b/>
          <w:color w:val="auto"/>
          <w:sz w:val="32"/>
          <w:szCs w:val="32"/>
          <w:highlight w:val="none"/>
          <w:lang w:eastAsia="zh-CN"/>
        </w:rPr>
      </w:pPr>
      <w:bookmarkStart w:id="58" w:name="_Toc680"/>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58"/>
    </w:p>
    <w:p>
      <w:pPr>
        <w:ind w:firstLine="640" w:firstLineChars="200"/>
        <w:outlineLvl w:val="1"/>
        <w:rPr>
          <w:rFonts w:hint="eastAsia" w:ascii="仿宋_GB2312" w:eastAsia="仿宋_GB2312"/>
          <w:color w:val="auto"/>
          <w:sz w:val="32"/>
          <w:szCs w:val="32"/>
          <w:highlight w:val="none"/>
        </w:rPr>
      </w:pPr>
      <w:bookmarkStart w:id="59" w:name="_Toc1064617349"/>
      <w:bookmarkStart w:id="60" w:name="_Toc14893"/>
      <w:bookmarkStart w:id="61" w:name="_Toc5902"/>
      <w:r>
        <w:rPr>
          <w:rFonts w:hint="eastAsia" w:ascii="仿宋_GB2312" w:eastAsia="仿宋_GB2312"/>
          <w:color w:val="auto"/>
          <w:sz w:val="32"/>
          <w:szCs w:val="32"/>
          <w:highlight w:val="none"/>
        </w:rPr>
        <w:t>女性报考者因怀孕不能进入体检的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招聘单位及其主管部门</w:t>
      </w:r>
      <w:r>
        <w:rPr>
          <w:rFonts w:hint="eastAsia" w:ascii="仿宋_GB2312" w:eastAsia="仿宋_GB2312"/>
          <w:color w:val="auto"/>
          <w:sz w:val="32"/>
          <w:szCs w:val="32"/>
          <w:highlight w:val="none"/>
        </w:rPr>
        <w:t>应对其延期体检，并与报考者约定延缓体检的最长期限。</w:t>
      </w:r>
      <w:bookmarkEnd w:id="59"/>
      <w:bookmarkEnd w:id="60"/>
      <w:bookmarkEnd w:id="61"/>
    </w:p>
    <w:p>
      <w:pPr>
        <w:ind w:firstLine="643" w:firstLineChars="200"/>
        <w:outlineLvl w:val="1"/>
        <w:rPr>
          <w:rFonts w:ascii="楷体" w:hAnsi="楷体" w:eastAsia="楷体"/>
          <w:b/>
          <w:color w:val="auto"/>
          <w:sz w:val="32"/>
          <w:szCs w:val="32"/>
          <w:highlight w:val="none"/>
        </w:rPr>
      </w:pPr>
      <w:bookmarkStart w:id="62" w:name="_Toc11889"/>
      <w:r>
        <w:rPr>
          <w:rFonts w:hint="eastAsia" w:ascii="楷体" w:hAnsi="楷体" w:eastAsia="楷体"/>
          <w:b/>
          <w:color w:val="auto"/>
          <w:sz w:val="32"/>
          <w:szCs w:val="32"/>
          <w:highlight w:val="none"/>
        </w:rPr>
        <w:t>（六）考察</w:t>
      </w:r>
      <w:bookmarkEnd w:id="6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w:t>
      </w:r>
      <w:r>
        <w:rPr>
          <w:rFonts w:hint="eastAsia" w:ascii="仿宋_GB2312" w:eastAsia="仿宋_GB2312"/>
          <w:color w:val="auto"/>
          <w:sz w:val="32"/>
          <w:szCs w:val="32"/>
          <w:highlight w:val="none"/>
          <w:lang w:val="en-US" w:eastAsia="zh-CN"/>
        </w:rPr>
        <w:t>被依法列为失信联合惩戒对象的，不得报考或或取消报考（聘用）资格。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63" w:name="_Toc3639"/>
      <w:r>
        <w:rPr>
          <w:rFonts w:hint="eastAsia" w:ascii="黑体" w:hAnsi="黑体" w:eastAsia="黑体"/>
          <w:b/>
          <w:bCs/>
          <w:color w:val="auto"/>
          <w:sz w:val="32"/>
          <w:szCs w:val="32"/>
          <w:highlight w:val="none"/>
        </w:rPr>
        <w:t>公示</w:t>
      </w:r>
      <w:bookmarkEnd w:id="63"/>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根据岗位要求以及考试、体检、考察结果，确定拟聘用人员名单，市</w:t>
      </w:r>
      <w:r>
        <w:rPr>
          <w:rFonts w:hint="eastAsia" w:ascii="仿宋_GB2312" w:eastAsia="仿宋_GB2312"/>
          <w:color w:val="auto"/>
          <w:sz w:val="32"/>
          <w:szCs w:val="32"/>
          <w:highlight w:val="none"/>
          <w:lang w:eastAsia="zh-CN"/>
        </w:rPr>
        <w:t>属和各区属</w:t>
      </w:r>
      <w:r>
        <w:rPr>
          <w:rFonts w:hint="eastAsia" w:ascii="仿宋_GB2312" w:eastAsia="仿宋_GB2312"/>
          <w:color w:val="auto"/>
          <w:sz w:val="32"/>
          <w:szCs w:val="32"/>
          <w:highlight w:val="none"/>
        </w:rPr>
        <w:t>事业单位拟聘人选分别在</w:t>
      </w:r>
      <w:r>
        <w:rPr>
          <w:rFonts w:hint="eastAsia" w:ascii="仿宋_GB2312" w:eastAsia="仿宋_GB2312"/>
          <w:color w:val="auto"/>
          <w:sz w:val="32"/>
          <w:szCs w:val="32"/>
          <w:highlight w:val="none"/>
          <w:lang w:eastAsia="zh-CN"/>
        </w:rPr>
        <w:t>“报名系统”和各区</w:t>
      </w:r>
      <w:r>
        <w:rPr>
          <w:rFonts w:hint="eastAsia" w:ascii="仿宋_GB2312" w:eastAsia="仿宋_GB2312"/>
          <w:color w:val="auto"/>
          <w:sz w:val="32"/>
          <w:szCs w:val="32"/>
          <w:highlight w:val="none"/>
        </w:rPr>
        <w:t>政府网站</w:t>
      </w:r>
      <w:r>
        <w:rPr>
          <w:rFonts w:hint="eastAsia" w:ascii="仿宋_GB2312" w:eastAsia="仿宋_GB2312"/>
          <w:color w:val="auto"/>
          <w:sz w:val="32"/>
          <w:szCs w:val="32"/>
          <w:highlight w:val="none"/>
          <w:lang w:eastAsia="zh-CN"/>
        </w:rPr>
        <w:t>上</w:t>
      </w:r>
      <w:r>
        <w:rPr>
          <w:rFonts w:hint="eastAsia" w:ascii="仿宋_GB2312" w:eastAsia="仿宋_GB2312"/>
          <w:color w:val="auto"/>
          <w:sz w:val="32"/>
          <w:szCs w:val="32"/>
          <w:highlight w:val="none"/>
        </w:rPr>
        <w:t>公示7个工作日</w:t>
      </w:r>
      <w:r>
        <w:rPr>
          <w:rFonts w:hint="eastAsia" w:ascii="仿宋_GB2312" w:eastAsia="仿宋_GB2312"/>
          <w:color w:val="auto"/>
          <w:sz w:val="32"/>
          <w:szCs w:val="32"/>
          <w:highlight w:val="none"/>
          <w:lang w:eastAsia="zh-CN"/>
        </w:rPr>
        <w:t>，网址如下：</w:t>
      </w:r>
    </w:p>
    <w:tbl>
      <w:tblPr>
        <w:tblStyle w:val="10"/>
        <w:tblW w:w="0" w:type="auto"/>
        <w:jc w:val="center"/>
        <w:tblLayout w:type="fixed"/>
        <w:tblCellMar>
          <w:top w:w="0" w:type="dxa"/>
          <w:left w:w="0" w:type="dxa"/>
          <w:bottom w:w="0" w:type="dxa"/>
          <w:right w:w="0" w:type="dxa"/>
        </w:tblCellMar>
      </w:tblPr>
      <w:tblGrid>
        <w:gridCol w:w="929"/>
        <w:gridCol w:w="6014"/>
      </w:tblGrid>
      <w:tr>
        <w:tblPrEx>
          <w:tblCellMar>
            <w:top w:w="0" w:type="dxa"/>
            <w:left w:w="0" w:type="dxa"/>
            <w:bottom w:w="0" w:type="dxa"/>
            <w:right w:w="0" w:type="dxa"/>
          </w:tblCellMar>
        </w:tblPrEx>
        <w:trPr>
          <w:trHeight w:val="521" w:hRule="atLeast"/>
          <w:jc w:val="center"/>
        </w:trPr>
        <w:tc>
          <w:tcPr>
            <w:tcW w:w="92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b/>
                <w:i w:val="0"/>
                <w:caps w:val="0"/>
                <w:color w:val="auto"/>
                <w:spacing w:val="0"/>
                <w:sz w:val="21"/>
                <w:szCs w:val="21"/>
                <w:highlight w:val="none"/>
              </w:rPr>
              <w:t>单位</w:t>
            </w:r>
          </w:p>
        </w:tc>
        <w:tc>
          <w:tcPr>
            <w:tcW w:w="601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i w:val="0"/>
                <w:caps w:val="0"/>
                <w:color w:val="auto"/>
                <w:spacing w:val="0"/>
                <w:sz w:val="21"/>
                <w:szCs w:val="21"/>
                <w:highlight w:val="none"/>
                <w:lang w:eastAsia="zh-CN"/>
              </w:rPr>
            </w:pPr>
            <w:r>
              <w:rPr>
                <w:rFonts w:hint="eastAsia" w:ascii="宋体" w:hAnsi="宋体" w:eastAsia="宋体" w:cs="宋体"/>
                <w:b/>
                <w:i w:val="0"/>
                <w:caps w:val="0"/>
                <w:color w:val="auto"/>
                <w:spacing w:val="0"/>
                <w:sz w:val="21"/>
                <w:szCs w:val="21"/>
                <w:highlight w:val="none"/>
                <w:lang w:eastAsia="zh-CN"/>
              </w:rPr>
              <w:t>网址</w:t>
            </w:r>
          </w:p>
        </w:tc>
      </w:tr>
      <w:tr>
        <w:tblPrEx>
          <w:tblCellMar>
            <w:top w:w="0" w:type="dxa"/>
            <w:left w:w="0" w:type="dxa"/>
            <w:bottom w:w="0" w:type="dxa"/>
            <w:right w:w="0" w:type="dxa"/>
          </w:tblCellMar>
        </w:tblPrEx>
        <w:trPr>
          <w:trHeight w:val="312" w:hRule="atLeast"/>
          <w:jc w:val="center"/>
        </w:trPr>
        <w:tc>
          <w:tcPr>
            <w:tcW w:w="92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i w:val="0"/>
                <w:caps w:val="0"/>
                <w:color w:val="auto"/>
                <w:spacing w:val="0"/>
                <w:sz w:val="21"/>
                <w:szCs w:val="21"/>
                <w:highlight w:val="none"/>
              </w:rPr>
            </w:pPr>
          </w:p>
        </w:tc>
        <w:tc>
          <w:tcPr>
            <w:tcW w:w="601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i w:val="0"/>
                <w:caps w:val="0"/>
                <w:color w:val="auto"/>
                <w:spacing w:val="0"/>
                <w:sz w:val="21"/>
                <w:szCs w:val="21"/>
                <w:highlight w:val="none"/>
              </w:rPr>
            </w:pPr>
          </w:p>
        </w:tc>
      </w:tr>
      <w:tr>
        <w:tblPrEx>
          <w:tblCellMar>
            <w:top w:w="0" w:type="dxa"/>
            <w:left w:w="0" w:type="dxa"/>
            <w:bottom w:w="0" w:type="dxa"/>
            <w:right w:w="0" w:type="dxa"/>
          </w:tblCellMar>
        </w:tblPrEx>
        <w:trPr>
          <w:trHeight w:val="90" w:hRule="atLeast"/>
          <w:jc w:val="center"/>
        </w:trPr>
        <w:tc>
          <w:tcPr>
            <w:tcW w:w="92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i w:val="0"/>
                <w:caps w:val="0"/>
                <w:color w:val="auto"/>
                <w:spacing w:val="0"/>
                <w:sz w:val="21"/>
                <w:szCs w:val="21"/>
                <w:highlight w:val="none"/>
              </w:rPr>
              <w:t>思明区</w:t>
            </w:r>
          </w:p>
        </w:tc>
        <w:tc>
          <w:tcPr>
            <w:tcW w:w="6014"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color w:val="auto"/>
                <w:sz w:val="21"/>
                <w:szCs w:val="21"/>
                <w:highlight w:val="none"/>
              </w:rPr>
            </w:pPr>
            <w:r>
              <w:rPr>
                <w:rStyle w:val="12"/>
                <w:rFonts w:hint="eastAsia" w:ascii="宋体" w:hAnsi="宋体" w:eastAsia="宋体" w:cs="宋体"/>
                <w:i w:val="0"/>
                <w:caps w:val="0"/>
                <w:color w:val="auto"/>
                <w:spacing w:val="0"/>
                <w:sz w:val="21"/>
                <w:szCs w:val="21"/>
                <w:highlight w:val="none"/>
                <w:u w:val="none"/>
                <w:lang w:val="en-US"/>
              </w:rPr>
              <w:t>http://www.siming.gov.cn/xxgk/xwgg/ysgg/</w:t>
            </w:r>
          </w:p>
        </w:tc>
      </w:tr>
      <w:tr>
        <w:tblPrEx>
          <w:tblCellMar>
            <w:top w:w="0" w:type="dxa"/>
            <w:left w:w="0" w:type="dxa"/>
            <w:bottom w:w="0" w:type="dxa"/>
            <w:right w:w="0" w:type="dxa"/>
          </w:tblCellMar>
        </w:tblPrEx>
        <w:trPr>
          <w:trHeight w:val="505" w:hRule="atLeast"/>
          <w:jc w:val="center"/>
        </w:trPr>
        <w:tc>
          <w:tcPr>
            <w:tcW w:w="92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i w:val="0"/>
                <w:caps w:val="0"/>
                <w:color w:val="auto"/>
                <w:spacing w:val="0"/>
                <w:sz w:val="21"/>
                <w:szCs w:val="21"/>
                <w:highlight w:val="none"/>
              </w:rPr>
              <w:t>湖里区</w:t>
            </w:r>
          </w:p>
        </w:tc>
        <w:tc>
          <w:tcPr>
            <w:tcW w:w="6014"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i w:val="0"/>
                <w:caps w:val="0"/>
                <w:color w:val="auto"/>
                <w:spacing w:val="0"/>
                <w:sz w:val="21"/>
                <w:szCs w:val="21"/>
                <w:highlight w:val="none"/>
                <w:lang w:val="en-US"/>
              </w:rPr>
              <w:t>http://www.huli.gov.cn</w:t>
            </w:r>
          </w:p>
        </w:tc>
      </w:tr>
      <w:tr>
        <w:tblPrEx>
          <w:tblCellMar>
            <w:top w:w="0" w:type="dxa"/>
            <w:left w:w="0" w:type="dxa"/>
            <w:bottom w:w="0" w:type="dxa"/>
            <w:right w:w="0" w:type="dxa"/>
          </w:tblCellMar>
        </w:tblPrEx>
        <w:trPr>
          <w:trHeight w:val="495" w:hRule="atLeast"/>
          <w:jc w:val="center"/>
        </w:trPr>
        <w:tc>
          <w:tcPr>
            <w:tcW w:w="92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i w:val="0"/>
                <w:caps w:val="0"/>
                <w:color w:val="auto"/>
                <w:spacing w:val="0"/>
                <w:sz w:val="21"/>
                <w:szCs w:val="21"/>
                <w:highlight w:val="none"/>
              </w:rPr>
              <w:t>集美区</w:t>
            </w:r>
          </w:p>
        </w:tc>
        <w:tc>
          <w:tcPr>
            <w:tcW w:w="6014"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color w:val="auto"/>
                <w:sz w:val="21"/>
                <w:szCs w:val="21"/>
                <w:highlight w:val="none"/>
              </w:rPr>
            </w:pPr>
            <w:r>
              <w:rPr>
                <w:rStyle w:val="12"/>
                <w:rFonts w:hint="eastAsia" w:ascii="宋体" w:hAnsi="宋体" w:eastAsia="宋体" w:cs="宋体"/>
                <w:i w:val="0"/>
                <w:caps w:val="0"/>
                <w:color w:val="auto"/>
                <w:spacing w:val="0"/>
                <w:sz w:val="21"/>
                <w:szCs w:val="21"/>
                <w:highlight w:val="none"/>
                <w:u w:val="none"/>
                <w:lang w:val="en-US"/>
              </w:rPr>
              <w:t>http://www.jimei.gov.cn</w:t>
            </w:r>
          </w:p>
        </w:tc>
      </w:tr>
      <w:tr>
        <w:tblPrEx>
          <w:tblCellMar>
            <w:top w:w="0" w:type="dxa"/>
            <w:left w:w="0" w:type="dxa"/>
            <w:bottom w:w="0" w:type="dxa"/>
            <w:right w:w="0" w:type="dxa"/>
          </w:tblCellMar>
        </w:tblPrEx>
        <w:trPr>
          <w:trHeight w:val="485" w:hRule="atLeast"/>
          <w:jc w:val="center"/>
        </w:trPr>
        <w:tc>
          <w:tcPr>
            <w:tcW w:w="92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i w:val="0"/>
                <w:caps w:val="0"/>
                <w:color w:val="auto"/>
                <w:spacing w:val="0"/>
                <w:sz w:val="21"/>
                <w:szCs w:val="21"/>
                <w:highlight w:val="none"/>
              </w:rPr>
              <w:t>海沧区</w:t>
            </w:r>
          </w:p>
        </w:tc>
        <w:tc>
          <w:tcPr>
            <w:tcW w:w="6014"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i w:val="0"/>
                <w:caps w:val="0"/>
                <w:color w:val="auto"/>
                <w:spacing w:val="0"/>
                <w:sz w:val="21"/>
                <w:szCs w:val="21"/>
                <w:highlight w:val="none"/>
                <w:lang w:val="en-US"/>
              </w:rPr>
              <w:t>http://www.haicang.gov.cn</w:t>
            </w:r>
          </w:p>
        </w:tc>
      </w:tr>
      <w:tr>
        <w:tblPrEx>
          <w:tblCellMar>
            <w:top w:w="0" w:type="dxa"/>
            <w:left w:w="0" w:type="dxa"/>
            <w:bottom w:w="0" w:type="dxa"/>
            <w:right w:w="0" w:type="dxa"/>
          </w:tblCellMar>
        </w:tblPrEx>
        <w:trPr>
          <w:trHeight w:val="475" w:hRule="atLeast"/>
          <w:jc w:val="center"/>
        </w:trPr>
        <w:tc>
          <w:tcPr>
            <w:tcW w:w="92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i w:val="0"/>
                <w:caps w:val="0"/>
                <w:color w:val="auto"/>
                <w:spacing w:val="0"/>
                <w:sz w:val="21"/>
                <w:szCs w:val="21"/>
                <w:highlight w:val="none"/>
              </w:rPr>
              <w:t>同安区</w:t>
            </w:r>
          </w:p>
        </w:tc>
        <w:tc>
          <w:tcPr>
            <w:tcW w:w="6014"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i w:val="0"/>
                <w:caps w:val="0"/>
                <w:color w:val="auto"/>
                <w:spacing w:val="0"/>
                <w:sz w:val="21"/>
                <w:szCs w:val="21"/>
                <w:highlight w:val="none"/>
                <w:lang w:val="en-US"/>
              </w:rPr>
              <w:t>http://www.xmta.gov.cn</w:t>
            </w:r>
          </w:p>
        </w:tc>
      </w:tr>
      <w:tr>
        <w:tblPrEx>
          <w:tblCellMar>
            <w:top w:w="0" w:type="dxa"/>
            <w:left w:w="0" w:type="dxa"/>
            <w:bottom w:w="0" w:type="dxa"/>
            <w:right w:w="0" w:type="dxa"/>
          </w:tblCellMar>
        </w:tblPrEx>
        <w:trPr>
          <w:trHeight w:val="475" w:hRule="atLeast"/>
          <w:jc w:val="center"/>
        </w:trPr>
        <w:tc>
          <w:tcPr>
            <w:tcW w:w="92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i w:val="0"/>
                <w:caps w:val="0"/>
                <w:color w:val="auto"/>
                <w:spacing w:val="0"/>
                <w:sz w:val="21"/>
                <w:szCs w:val="21"/>
                <w:highlight w:val="none"/>
                <w:lang w:eastAsia="zh-CN"/>
              </w:rPr>
            </w:pPr>
            <w:r>
              <w:rPr>
                <w:rFonts w:hint="eastAsia" w:ascii="宋体" w:hAnsi="宋体" w:cs="宋体"/>
                <w:i w:val="0"/>
                <w:caps w:val="0"/>
                <w:color w:val="auto"/>
                <w:spacing w:val="0"/>
                <w:sz w:val="21"/>
                <w:szCs w:val="21"/>
                <w:highlight w:val="none"/>
                <w:lang w:eastAsia="zh-CN"/>
              </w:rPr>
              <w:t>翔安区</w:t>
            </w:r>
          </w:p>
        </w:tc>
        <w:tc>
          <w:tcPr>
            <w:tcW w:w="6014"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i w:val="0"/>
                <w:caps w:val="0"/>
                <w:color w:val="auto"/>
                <w:spacing w:val="0"/>
                <w:sz w:val="21"/>
                <w:szCs w:val="21"/>
                <w:highlight w:val="none"/>
                <w:lang w:val="en-US"/>
              </w:rPr>
            </w:pPr>
            <w:r>
              <w:rPr>
                <w:rFonts w:hint="eastAsia" w:ascii="宋体" w:hAnsi="宋体" w:eastAsia="宋体" w:cs="宋体"/>
                <w:i w:val="0"/>
                <w:caps w:val="0"/>
                <w:color w:val="auto"/>
                <w:spacing w:val="0"/>
                <w:sz w:val="21"/>
                <w:szCs w:val="21"/>
                <w:highlight w:val="none"/>
                <w:lang w:val="en-US"/>
              </w:rPr>
              <w:t>http://www.xiangan.gov.cn/</w:t>
            </w:r>
          </w:p>
        </w:tc>
      </w:tr>
      <w:tr>
        <w:tblPrEx>
          <w:tblCellMar>
            <w:top w:w="0" w:type="dxa"/>
            <w:left w:w="0" w:type="dxa"/>
            <w:bottom w:w="0" w:type="dxa"/>
            <w:right w:w="0" w:type="dxa"/>
          </w:tblCellMar>
        </w:tblPrEx>
        <w:trPr>
          <w:trHeight w:val="454" w:hRule="atLeast"/>
          <w:jc w:val="center"/>
        </w:trPr>
        <w:tc>
          <w:tcPr>
            <w:tcW w:w="92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i w:val="0"/>
                <w:caps w:val="0"/>
                <w:color w:val="auto"/>
                <w:spacing w:val="0"/>
                <w:sz w:val="21"/>
                <w:szCs w:val="21"/>
                <w:highlight w:val="none"/>
              </w:rPr>
              <w:t>市</w:t>
            </w:r>
            <w:r>
              <w:rPr>
                <w:rFonts w:hint="eastAsia" w:ascii="宋体" w:hAnsi="宋体" w:cs="宋体"/>
                <w:i w:val="0"/>
                <w:caps w:val="0"/>
                <w:color w:val="auto"/>
                <w:spacing w:val="0"/>
                <w:sz w:val="21"/>
                <w:szCs w:val="21"/>
                <w:highlight w:val="none"/>
                <w:lang w:val="en-US" w:eastAsia="zh-CN"/>
              </w:rPr>
              <w:t xml:space="preserve">  </w:t>
            </w:r>
            <w:r>
              <w:rPr>
                <w:rFonts w:hint="eastAsia" w:ascii="宋体" w:hAnsi="宋体" w:eastAsia="宋体" w:cs="宋体"/>
                <w:i w:val="0"/>
                <w:caps w:val="0"/>
                <w:color w:val="auto"/>
                <w:spacing w:val="0"/>
                <w:sz w:val="21"/>
                <w:szCs w:val="21"/>
                <w:highlight w:val="none"/>
              </w:rPr>
              <w:t>属</w:t>
            </w:r>
          </w:p>
        </w:tc>
        <w:tc>
          <w:tcPr>
            <w:tcW w:w="6014"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https://app.hrss.xm.gov.cn/syzp/v3/</w:t>
            </w:r>
          </w:p>
        </w:tc>
      </w:tr>
    </w:tbl>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对未取得有关证书的人员（如2024届</w:t>
      </w:r>
      <w:r>
        <w:rPr>
          <w:rFonts w:hint="eastAsia" w:ascii="仿宋_GB2312" w:eastAsia="仿宋_GB2312"/>
          <w:color w:val="auto"/>
          <w:sz w:val="32"/>
          <w:szCs w:val="32"/>
          <w:highlight w:val="none"/>
          <w:lang w:eastAsia="zh-CN"/>
        </w:rPr>
        <w:t>高校</w:t>
      </w:r>
      <w:r>
        <w:rPr>
          <w:rFonts w:hint="eastAsia" w:ascii="仿宋_GB2312" w:eastAsia="仿宋_GB2312"/>
          <w:color w:val="auto"/>
          <w:sz w:val="32"/>
          <w:szCs w:val="32"/>
          <w:highlight w:val="none"/>
        </w:rPr>
        <w:t>毕业生、服务基层项目高校毕业生等）可先予以公示，在规定时限内</w:t>
      </w:r>
      <w:r>
        <w:rPr>
          <w:rFonts w:hint="eastAsia" w:ascii="仿宋_GB2312" w:eastAsia="仿宋_GB2312"/>
          <w:color w:val="auto"/>
          <w:sz w:val="32"/>
          <w:szCs w:val="32"/>
          <w:highlight w:val="none"/>
          <w:lang w:eastAsia="zh-CN"/>
        </w:rPr>
        <w:t>（详见《报考须知》）提供</w:t>
      </w:r>
      <w:r>
        <w:rPr>
          <w:rFonts w:hint="eastAsia" w:ascii="仿宋_GB2312" w:eastAsia="仿宋_GB2312"/>
          <w:color w:val="auto"/>
          <w:sz w:val="32"/>
          <w:szCs w:val="32"/>
          <w:highlight w:val="none"/>
        </w:rPr>
        <w:t>相应证书后，再办理</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用手续。</w:t>
      </w:r>
    </w:p>
    <w:p>
      <w:pPr>
        <w:numPr>
          <w:ilvl w:val="0"/>
          <w:numId w:val="4"/>
        </w:numPr>
        <w:ind w:firstLine="643" w:firstLineChars="200"/>
        <w:outlineLvl w:val="0"/>
        <w:rPr>
          <w:rFonts w:hint="eastAsia" w:ascii="黑体" w:hAnsi="黑体" w:eastAsia="黑体"/>
          <w:b/>
          <w:bCs/>
          <w:color w:val="auto"/>
          <w:sz w:val="32"/>
          <w:szCs w:val="32"/>
          <w:highlight w:val="none"/>
        </w:rPr>
      </w:pPr>
      <w:bookmarkStart w:id="64" w:name="_Toc20995"/>
      <w:r>
        <w:rPr>
          <w:rFonts w:hint="eastAsia" w:ascii="黑体" w:hAnsi="黑体" w:eastAsia="黑体"/>
          <w:b/>
          <w:bCs/>
          <w:color w:val="auto"/>
          <w:sz w:val="32"/>
          <w:szCs w:val="32"/>
          <w:highlight w:val="none"/>
        </w:rPr>
        <w:t>聘用</w:t>
      </w:r>
      <w:r>
        <w:rPr>
          <w:rFonts w:hint="eastAsia" w:ascii="黑体" w:hAnsi="黑体" w:eastAsia="黑体"/>
          <w:b/>
          <w:bCs/>
          <w:color w:val="auto"/>
          <w:sz w:val="32"/>
          <w:szCs w:val="32"/>
          <w:highlight w:val="none"/>
          <w:lang w:eastAsia="zh-CN"/>
        </w:rPr>
        <w:t>办理</w:t>
      </w:r>
      <w:bookmarkEnd w:id="64"/>
    </w:p>
    <w:p>
      <w:pPr>
        <w:ind w:firstLine="643" w:firstLineChars="200"/>
        <w:outlineLvl w:val="1"/>
        <w:rPr>
          <w:rFonts w:ascii="楷体" w:hAnsi="楷体" w:eastAsia="楷体"/>
          <w:b/>
          <w:color w:val="auto"/>
          <w:sz w:val="32"/>
          <w:szCs w:val="32"/>
          <w:highlight w:val="none"/>
        </w:rPr>
      </w:pPr>
      <w:bookmarkStart w:id="65" w:name="_Toc7796"/>
      <w:r>
        <w:rPr>
          <w:rFonts w:hint="eastAsia" w:ascii="楷体" w:hAnsi="楷体" w:eastAsia="楷体"/>
          <w:b/>
          <w:color w:val="auto"/>
          <w:sz w:val="32"/>
          <w:szCs w:val="32"/>
          <w:highlight w:val="none"/>
        </w:rPr>
        <w:t>（一）聘用手续办理</w:t>
      </w:r>
      <w:bookmarkEnd w:id="6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个月内提供办理聘用手续所需的材料（含个人人事档案），因情况确实特殊、无法在上述期限内提供完备</w:t>
      </w:r>
      <w:r>
        <w:rPr>
          <w:rFonts w:hint="eastAsia" w:ascii="仿宋_GB2312" w:eastAsia="仿宋_GB2312"/>
          <w:color w:val="auto"/>
          <w:sz w:val="32"/>
          <w:szCs w:val="32"/>
          <w:highlight w:val="none"/>
          <w:lang w:eastAsia="zh-CN"/>
        </w:rPr>
        <w:t>材</w:t>
      </w:r>
      <w:r>
        <w:rPr>
          <w:rFonts w:hint="eastAsia" w:ascii="仿宋_GB2312" w:eastAsia="仿宋_GB2312"/>
          <w:color w:val="auto"/>
          <w:sz w:val="32"/>
          <w:szCs w:val="32"/>
          <w:highlight w:val="none"/>
        </w:rPr>
        <w:t>料的，与招聘单位及其主管部门协商同意并书面承诺后可适当延长材料提交时限（延长时限原则上不超过</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个月），否则视为放弃聘用资格。</w:t>
      </w:r>
    </w:p>
    <w:p>
      <w:pPr>
        <w:ind w:firstLine="643" w:firstLineChars="200"/>
        <w:outlineLvl w:val="1"/>
        <w:rPr>
          <w:rFonts w:ascii="楷体" w:hAnsi="楷体" w:eastAsia="楷体"/>
          <w:b/>
          <w:color w:val="auto"/>
          <w:sz w:val="32"/>
          <w:szCs w:val="32"/>
          <w:highlight w:val="none"/>
        </w:rPr>
      </w:pPr>
      <w:bookmarkStart w:id="66" w:name="_Toc28180"/>
      <w:r>
        <w:rPr>
          <w:rFonts w:hint="eastAsia" w:ascii="楷体" w:hAnsi="楷体" w:eastAsia="楷体"/>
          <w:b/>
          <w:color w:val="auto"/>
          <w:sz w:val="32"/>
          <w:szCs w:val="32"/>
          <w:highlight w:val="none"/>
        </w:rPr>
        <w:t>（二）岗位聘任</w:t>
      </w:r>
      <w:bookmarkEnd w:id="6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4"/>
        </w:numPr>
        <w:ind w:firstLine="643" w:firstLineChars="200"/>
        <w:outlineLvl w:val="0"/>
        <w:rPr>
          <w:rFonts w:ascii="仿宋_GB2312" w:eastAsia="仿宋_GB2312"/>
          <w:b/>
          <w:bCs w:val="0"/>
          <w:color w:val="auto"/>
          <w:sz w:val="32"/>
          <w:szCs w:val="32"/>
          <w:highlight w:val="none"/>
        </w:rPr>
      </w:pPr>
      <w:bookmarkStart w:id="67" w:name="_Toc11019"/>
      <w:r>
        <w:rPr>
          <w:rFonts w:hint="eastAsia" w:ascii="黑体" w:hAnsi="黑体" w:eastAsia="黑体"/>
          <w:b/>
          <w:bCs/>
          <w:color w:val="auto"/>
          <w:sz w:val="32"/>
          <w:szCs w:val="32"/>
          <w:highlight w:val="none"/>
        </w:rPr>
        <w:t>其他</w:t>
      </w:r>
      <w:r>
        <w:rPr>
          <w:rFonts w:hint="eastAsia" w:ascii="黑体" w:hAnsi="黑体" w:eastAsia="黑体"/>
          <w:b/>
          <w:bCs/>
          <w:color w:val="auto"/>
          <w:sz w:val="32"/>
          <w:szCs w:val="32"/>
          <w:highlight w:val="none"/>
          <w:lang w:eastAsia="zh-CN"/>
        </w:rPr>
        <w:t>需说明</w:t>
      </w:r>
      <w:r>
        <w:rPr>
          <w:rFonts w:hint="eastAsia" w:ascii="黑体" w:hAnsi="黑体" w:eastAsia="黑体"/>
          <w:b/>
          <w:bCs/>
          <w:color w:val="auto"/>
          <w:sz w:val="32"/>
          <w:szCs w:val="32"/>
          <w:highlight w:val="none"/>
        </w:rPr>
        <w:t>事项</w:t>
      </w:r>
      <w:bookmarkEnd w:id="67"/>
    </w:p>
    <w:p>
      <w:pPr>
        <w:numPr>
          <w:ilvl w:val="0"/>
          <w:numId w:val="6"/>
        </w:numPr>
        <w:ind w:left="0" w:leftChars="0" w:firstLine="420" w:firstLineChars="0"/>
        <w:outlineLvl w:val="1"/>
        <w:rPr>
          <w:rFonts w:ascii="仿宋_GB2312" w:eastAsia="仿宋_GB2312"/>
          <w:b/>
          <w:bCs w:val="0"/>
          <w:strike w:val="0"/>
          <w:dstrike w:val="0"/>
          <w:color w:val="auto"/>
          <w:sz w:val="32"/>
          <w:szCs w:val="32"/>
          <w:highlight w:val="none"/>
        </w:rPr>
      </w:pPr>
      <w:bookmarkStart w:id="68" w:name="_Toc20625"/>
      <w:r>
        <w:rPr>
          <w:rFonts w:hint="eastAsia" w:ascii="楷体" w:hAnsi="楷体" w:eastAsia="楷体"/>
          <w:b/>
          <w:bCs w:val="0"/>
          <w:strike w:val="0"/>
          <w:dstrike w:val="0"/>
          <w:color w:val="auto"/>
          <w:sz w:val="32"/>
          <w:szCs w:val="32"/>
          <w:highlight w:val="none"/>
          <w:lang w:eastAsia="zh-CN"/>
        </w:rPr>
        <w:t>全日制普通教育学历</w:t>
      </w:r>
      <w:bookmarkEnd w:id="68"/>
    </w:p>
    <w:p>
      <w:pPr>
        <w:ind w:firstLine="640" w:firstLineChars="200"/>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trike w:val="0"/>
          <w:dstrike w:val="0"/>
          <w:color w:val="auto"/>
          <w:sz w:val="32"/>
          <w:szCs w:val="32"/>
          <w:highlight w:val="none"/>
          <w:u w:val="none"/>
          <w:lang w:eastAsia="zh-CN"/>
        </w:rPr>
        <w:t>入学时将档案关系转到就读学校、</w:t>
      </w:r>
      <w:r>
        <w:rPr>
          <w:rFonts w:hint="eastAsia" w:ascii="仿宋_GB2312" w:eastAsia="仿宋_GB2312"/>
          <w:strike w:val="0"/>
          <w:dstrike w:val="0"/>
          <w:color w:val="auto"/>
          <w:sz w:val="32"/>
          <w:szCs w:val="32"/>
          <w:highlight w:val="none"/>
        </w:rPr>
        <w:t>按教学计划完成该学业、取得国家承认的学历。</w:t>
      </w:r>
    </w:p>
    <w:p>
      <w:pPr>
        <w:numPr>
          <w:ilvl w:val="0"/>
          <w:numId w:val="6"/>
        </w:numPr>
        <w:ind w:left="0" w:leftChars="0" w:firstLine="420" w:firstLineChars="0"/>
        <w:outlineLvl w:val="1"/>
        <w:rPr>
          <w:rFonts w:hint="eastAsia" w:ascii="楷体" w:hAnsi="楷体" w:eastAsia="楷体"/>
          <w:b/>
          <w:bCs w:val="0"/>
          <w:strike w:val="0"/>
          <w:dstrike w:val="0"/>
          <w:color w:val="auto"/>
          <w:sz w:val="32"/>
          <w:szCs w:val="32"/>
          <w:highlight w:val="none"/>
          <w:lang w:eastAsia="zh-CN"/>
        </w:rPr>
      </w:pPr>
      <w:bookmarkStart w:id="69" w:name="_Toc27375"/>
      <w:r>
        <w:rPr>
          <w:rFonts w:hint="eastAsia" w:ascii="楷体" w:hAnsi="楷体" w:eastAsia="楷体"/>
          <w:b/>
          <w:bCs w:val="0"/>
          <w:strike w:val="0"/>
          <w:dstrike w:val="0"/>
          <w:color w:val="auto"/>
          <w:sz w:val="32"/>
          <w:szCs w:val="32"/>
          <w:highlight w:val="none"/>
          <w:lang w:eastAsia="zh-CN"/>
        </w:rPr>
        <w:t>中共党员</w:t>
      </w:r>
      <w:bookmarkEnd w:id="69"/>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岗位资格条件要求为“中共党员”的，中共预备党员也可报考。</w:t>
      </w:r>
    </w:p>
    <w:p>
      <w:pPr>
        <w:numPr>
          <w:ilvl w:val="0"/>
          <w:numId w:val="6"/>
        </w:numPr>
        <w:ind w:left="0" w:leftChars="0" w:firstLine="420" w:firstLineChars="0"/>
        <w:outlineLvl w:val="1"/>
        <w:rPr>
          <w:rFonts w:hint="eastAsia" w:ascii="仿宋_GB2312" w:eastAsia="仿宋_GB2312"/>
          <w:b/>
          <w:bCs w:val="0"/>
          <w:strike/>
          <w:dstrike w:val="0"/>
          <w:color w:val="auto"/>
          <w:sz w:val="32"/>
          <w:szCs w:val="32"/>
          <w:highlight w:val="none"/>
        </w:rPr>
      </w:pPr>
      <w:bookmarkStart w:id="70" w:name="_Toc23154"/>
      <w:r>
        <w:rPr>
          <w:rFonts w:hint="eastAsia" w:ascii="楷体" w:hAnsi="楷体" w:eastAsia="楷体"/>
          <w:b/>
          <w:bCs w:val="0"/>
          <w:strike w:val="0"/>
          <w:dstrike w:val="0"/>
          <w:color w:val="auto"/>
          <w:sz w:val="32"/>
          <w:szCs w:val="32"/>
          <w:highlight w:val="none"/>
        </w:rPr>
        <w:t>职称</w:t>
      </w:r>
      <w:bookmarkEnd w:id="7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岗位资格条件要求的职称是指经社会化评审</w:t>
      </w:r>
      <w:r>
        <w:rPr>
          <w:rFonts w:hint="eastAsia" w:ascii="仿宋_GB2312" w:eastAsia="仿宋_GB2312"/>
          <w:color w:val="auto"/>
          <w:sz w:val="32"/>
          <w:szCs w:val="32"/>
          <w:highlight w:val="none"/>
          <w:lang w:eastAsia="zh-CN"/>
        </w:rPr>
        <w:t>、全国统一</w:t>
      </w:r>
      <w:r>
        <w:rPr>
          <w:rFonts w:hint="eastAsia" w:ascii="仿宋_GB2312" w:eastAsia="仿宋_GB2312"/>
          <w:color w:val="auto"/>
          <w:sz w:val="32"/>
          <w:szCs w:val="32"/>
          <w:highlight w:val="none"/>
        </w:rPr>
        <w:t>考试</w:t>
      </w:r>
      <w:r>
        <w:rPr>
          <w:rFonts w:hint="eastAsia" w:ascii="仿宋_GB2312" w:eastAsia="仿宋_GB2312"/>
          <w:color w:val="auto"/>
          <w:sz w:val="32"/>
          <w:szCs w:val="32"/>
          <w:highlight w:val="none"/>
          <w:lang w:eastAsia="zh-CN"/>
        </w:rPr>
        <w:t>或考核确认</w:t>
      </w:r>
      <w:r>
        <w:rPr>
          <w:rFonts w:hint="eastAsia" w:ascii="仿宋_GB2312" w:eastAsia="仿宋_GB2312"/>
          <w:color w:val="auto"/>
          <w:sz w:val="32"/>
          <w:szCs w:val="32"/>
          <w:highlight w:val="none"/>
        </w:rPr>
        <w:t>等方式取得的</w:t>
      </w:r>
      <w:r>
        <w:rPr>
          <w:rFonts w:hint="eastAsia" w:ascii="仿宋_GB2312" w:eastAsia="仿宋_GB2312"/>
          <w:color w:val="auto"/>
          <w:sz w:val="32"/>
          <w:szCs w:val="32"/>
          <w:highlight w:val="none"/>
          <w:lang w:eastAsia="zh-CN"/>
        </w:rPr>
        <w:t>专业技术职务任职资格</w:t>
      </w:r>
      <w:r>
        <w:rPr>
          <w:rFonts w:hint="eastAsia" w:ascii="仿宋_GB2312" w:eastAsia="仿宋_GB2312"/>
          <w:color w:val="auto"/>
          <w:sz w:val="32"/>
          <w:szCs w:val="32"/>
          <w:highlight w:val="none"/>
        </w:rPr>
        <w:t>，不含通过非公有制企业职称评审</w:t>
      </w:r>
      <w:r>
        <w:rPr>
          <w:rFonts w:hint="eastAsia" w:ascii="仿宋_GB2312" w:eastAsia="仿宋_GB2312"/>
          <w:color w:val="auto"/>
          <w:sz w:val="32"/>
          <w:szCs w:val="32"/>
          <w:highlight w:val="none"/>
          <w:lang w:eastAsia="zh-CN"/>
        </w:rPr>
        <w:t>方式</w:t>
      </w:r>
      <w:r>
        <w:rPr>
          <w:rFonts w:hint="eastAsia" w:ascii="仿宋_GB2312" w:eastAsia="仿宋_GB2312"/>
          <w:color w:val="auto"/>
          <w:sz w:val="32"/>
          <w:szCs w:val="32"/>
          <w:highlight w:val="none"/>
        </w:rPr>
        <w:t>取得的职称。</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在</w:t>
      </w:r>
      <w:r>
        <w:rPr>
          <w:rFonts w:hint="eastAsia" w:ascii="仿宋_GB2312" w:eastAsia="仿宋_GB2312"/>
          <w:color w:val="auto"/>
          <w:sz w:val="32"/>
          <w:szCs w:val="32"/>
          <w:highlight w:val="none"/>
        </w:rPr>
        <w:t>资格复核时，</w:t>
      </w:r>
      <w:r>
        <w:rPr>
          <w:rFonts w:hint="eastAsia" w:ascii="仿宋_GB2312" w:eastAsia="仿宋_GB2312"/>
          <w:color w:val="auto"/>
          <w:sz w:val="32"/>
          <w:szCs w:val="32"/>
          <w:highlight w:val="none"/>
          <w:lang w:eastAsia="zh-CN"/>
        </w:rPr>
        <w:t>尚未</w:t>
      </w:r>
      <w:r>
        <w:rPr>
          <w:rFonts w:hint="eastAsia" w:ascii="仿宋_GB2312" w:eastAsia="仿宋_GB2312"/>
          <w:color w:val="auto"/>
          <w:sz w:val="32"/>
          <w:szCs w:val="32"/>
          <w:highlight w:val="none"/>
        </w:rPr>
        <w:t>取得岗位资格条件要求的</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的，可提供</w:t>
      </w:r>
      <w:r>
        <w:rPr>
          <w:rFonts w:hint="eastAsia" w:ascii="仿宋_GB2312" w:eastAsia="仿宋_GB2312"/>
          <w:color w:val="auto"/>
          <w:sz w:val="32"/>
          <w:szCs w:val="32"/>
          <w:highlight w:val="none"/>
        </w:rPr>
        <w:t>成绩单</w:t>
      </w:r>
      <w:r>
        <w:rPr>
          <w:rFonts w:hint="eastAsia" w:ascii="仿宋_GB2312" w:eastAsia="仿宋_GB2312"/>
          <w:color w:val="auto"/>
          <w:sz w:val="32"/>
          <w:szCs w:val="32"/>
          <w:highlight w:val="none"/>
          <w:lang w:eastAsia="zh-CN"/>
        </w:rPr>
        <w:t>（须证明通过考试）、评审通过文件或考核确认表等有效材料</w:t>
      </w:r>
      <w:r>
        <w:rPr>
          <w:rFonts w:hint="eastAsia" w:ascii="仿宋_GB2312" w:eastAsia="仿宋_GB2312"/>
          <w:color w:val="auto"/>
          <w:sz w:val="32"/>
          <w:szCs w:val="32"/>
          <w:highlight w:val="none"/>
        </w:rPr>
        <w:t>。</w:t>
      </w:r>
    </w:p>
    <w:p>
      <w:pPr>
        <w:numPr>
          <w:ilvl w:val="0"/>
          <w:numId w:val="6"/>
        </w:numPr>
        <w:ind w:left="0" w:leftChars="0" w:firstLine="420" w:firstLineChars="0"/>
        <w:outlineLvl w:val="1"/>
        <w:rPr>
          <w:rFonts w:hint="eastAsia" w:ascii="楷体" w:hAnsi="楷体" w:eastAsia="楷体" w:cs="楷体"/>
          <w:b/>
          <w:bCs w:val="0"/>
          <w:color w:val="auto"/>
          <w:sz w:val="32"/>
          <w:szCs w:val="32"/>
          <w:highlight w:val="none"/>
        </w:rPr>
      </w:pPr>
      <w:bookmarkStart w:id="71" w:name="_Toc29122"/>
      <w:r>
        <w:rPr>
          <w:rFonts w:hint="eastAsia" w:ascii="楷体" w:hAnsi="楷体" w:eastAsia="楷体" w:cs="楷体"/>
          <w:b/>
          <w:bCs w:val="0"/>
          <w:color w:val="auto"/>
          <w:sz w:val="32"/>
          <w:szCs w:val="32"/>
          <w:highlight w:val="none"/>
        </w:rPr>
        <w:t>生源</w:t>
      </w:r>
      <w:bookmarkEnd w:id="71"/>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生源地为参加全国统一的普通高等学校招生考试时的户籍所在地。</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2024</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6"/>
        </w:numPr>
        <w:ind w:left="0" w:leftChars="0" w:firstLine="420" w:firstLineChars="0"/>
        <w:outlineLvl w:val="1"/>
        <w:rPr>
          <w:rFonts w:ascii="仿宋_GB2312" w:eastAsia="仿宋_GB2312"/>
          <w:b/>
          <w:bCs w:val="0"/>
          <w:color w:val="auto"/>
          <w:sz w:val="32"/>
          <w:szCs w:val="32"/>
          <w:highlight w:val="none"/>
        </w:rPr>
      </w:pPr>
      <w:bookmarkStart w:id="72" w:name="_Toc21812"/>
      <w:r>
        <w:rPr>
          <w:rFonts w:hint="eastAsia" w:ascii="楷体" w:hAnsi="楷体" w:eastAsia="楷体"/>
          <w:b/>
          <w:bCs w:val="0"/>
          <w:color w:val="auto"/>
          <w:sz w:val="32"/>
          <w:szCs w:val="32"/>
          <w:highlight w:val="none"/>
        </w:rPr>
        <w:t>港澳台人员</w:t>
      </w:r>
      <w:bookmarkEnd w:id="7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6"/>
        </w:numPr>
        <w:ind w:left="0" w:leftChars="0" w:firstLine="420" w:firstLineChars="0"/>
        <w:outlineLvl w:val="1"/>
        <w:rPr>
          <w:rFonts w:hint="eastAsia" w:ascii="楷体" w:hAnsi="楷体" w:eastAsia="楷体"/>
          <w:b/>
          <w:bCs w:val="0"/>
          <w:color w:val="auto"/>
          <w:sz w:val="32"/>
          <w:szCs w:val="32"/>
          <w:highlight w:val="none"/>
        </w:rPr>
      </w:pPr>
      <w:bookmarkStart w:id="73" w:name="_Toc24040"/>
      <w:r>
        <w:rPr>
          <w:rFonts w:hint="eastAsia" w:ascii="楷体" w:hAnsi="楷体" w:eastAsia="楷体"/>
          <w:b/>
          <w:bCs w:val="0"/>
          <w:color w:val="auto"/>
          <w:sz w:val="32"/>
          <w:szCs w:val="32"/>
          <w:highlight w:val="none"/>
        </w:rPr>
        <w:t>技工院校毕业生</w:t>
      </w:r>
      <w:bookmarkEnd w:id="73"/>
    </w:p>
    <w:p>
      <w:pPr>
        <w:numPr>
          <w:ilvl w:val="0"/>
          <w:numId w:val="0"/>
        </w:numPr>
        <w:ind w:firstLine="640" w:firstLineChars="200"/>
        <w:rPr>
          <w:rFonts w:hint="eastAsia" w:ascii="楷体" w:hAnsi="楷体" w:eastAsia="楷体"/>
          <w:b/>
          <w:bCs w:val="0"/>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6"/>
        </w:numPr>
        <w:ind w:left="0" w:leftChars="0" w:firstLine="420" w:firstLineChars="0"/>
        <w:outlineLvl w:val="1"/>
        <w:rPr>
          <w:rFonts w:hint="eastAsia" w:ascii="楷体" w:hAnsi="楷体" w:eastAsia="楷体"/>
          <w:b/>
          <w:bCs w:val="0"/>
          <w:color w:val="auto"/>
          <w:sz w:val="32"/>
          <w:szCs w:val="32"/>
          <w:highlight w:val="none"/>
        </w:rPr>
      </w:pPr>
      <w:bookmarkStart w:id="74" w:name="_Toc23840"/>
      <w:r>
        <w:rPr>
          <w:rFonts w:hint="eastAsia" w:ascii="楷体" w:hAnsi="楷体" w:eastAsia="楷体"/>
          <w:b/>
          <w:bCs w:val="0"/>
          <w:color w:val="auto"/>
          <w:sz w:val="32"/>
          <w:szCs w:val="32"/>
          <w:highlight w:val="none"/>
          <w:lang w:val="en-US" w:eastAsia="zh-CN"/>
        </w:rPr>
        <w:t>规范化培训</w:t>
      </w:r>
      <w:bookmarkEnd w:id="74"/>
      <w:r>
        <w:rPr>
          <w:rFonts w:hint="eastAsia" w:ascii="楷体" w:hAnsi="楷体" w:eastAsia="楷体"/>
          <w:b/>
          <w:bCs w:val="0"/>
          <w:color w:val="auto"/>
          <w:sz w:val="32"/>
          <w:szCs w:val="32"/>
          <w:highlight w:val="none"/>
          <w:lang w:val="en-US" w:eastAsia="zh-CN"/>
        </w:rPr>
        <w:t xml:space="preserve"> </w:t>
      </w:r>
    </w:p>
    <w:p>
      <w:pPr>
        <w:keepNext w:val="0"/>
        <w:keepLines w:val="0"/>
        <w:widowControl/>
        <w:suppressLineNumbers w:val="0"/>
        <w:ind w:firstLine="620" w:firstLineChars="200"/>
        <w:jc w:val="both"/>
        <w:rPr>
          <w:color w:val="auto"/>
          <w:highlight w:val="none"/>
        </w:rPr>
      </w:pPr>
      <w:r>
        <w:rPr>
          <w:rFonts w:ascii="仿宋_GB2312" w:hAnsi="宋体" w:eastAsia="仿宋_GB2312" w:cs="仿宋_GB2312"/>
          <w:color w:val="auto"/>
          <w:kern w:val="0"/>
          <w:sz w:val="31"/>
          <w:szCs w:val="31"/>
          <w:highlight w:val="none"/>
          <w:lang w:val="en-US" w:eastAsia="zh-CN" w:bidi="ar"/>
        </w:rPr>
        <w:t xml:space="preserve">岗位资格条件要求完成住院医师规范化培训的，是指按 </w:t>
      </w:r>
    </w:p>
    <w:p>
      <w:pPr>
        <w:keepNext w:val="0"/>
        <w:keepLines w:val="0"/>
        <w:widowControl/>
        <w:suppressLineNumbers w:val="0"/>
        <w:jc w:val="both"/>
        <w:rPr>
          <w:color w:val="auto"/>
          <w:highlight w:val="none"/>
        </w:rPr>
      </w:pPr>
      <w:r>
        <w:rPr>
          <w:rFonts w:hint="eastAsia" w:ascii="仿宋_GB2312" w:hAnsi="宋体" w:eastAsia="仿宋_GB2312" w:cs="仿宋_GB2312"/>
          <w:color w:val="auto"/>
          <w:kern w:val="0"/>
          <w:sz w:val="31"/>
          <w:szCs w:val="31"/>
          <w:highlight w:val="none"/>
          <w:lang w:val="en-US" w:eastAsia="zh-CN" w:bidi="ar"/>
        </w:rPr>
        <w:t xml:space="preserve">照《住院医师规范化培训内容和标准（试行）》完成住院医师规范化培训内容并取得合格证书。 </w:t>
      </w:r>
    </w:p>
    <w:p>
      <w:pPr>
        <w:keepNext w:val="0"/>
        <w:keepLines w:val="0"/>
        <w:widowControl/>
        <w:suppressLineNumbers w:val="0"/>
        <w:ind w:firstLine="620" w:firstLineChars="200"/>
        <w:jc w:val="both"/>
        <w:rPr>
          <w:color w:val="auto"/>
          <w:highlight w:val="none"/>
        </w:rPr>
      </w:pPr>
      <w:r>
        <w:rPr>
          <w:rFonts w:hint="eastAsia" w:ascii="仿宋_GB2312" w:hAnsi="宋体" w:eastAsia="仿宋_GB2312" w:cs="仿宋_GB2312"/>
          <w:color w:val="auto"/>
          <w:kern w:val="0"/>
          <w:sz w:val="31"/>
          <w:szCs w:val="31"/>
          <w:highlight w:val="none"/>
          <w:lang w:val="en-US" w:eastAsia="zh-CN" w:bidi="ar"/>
        </w:rPr>
        <w:t xml:space="preserve">报考者须于资格复核时提供岗位资格条件要求的规范化培训合格证书或通过考试成绩单。2024年毕业的医学专业“四证合一”应届研究生，在符合报考岗位其他资格条件的前提下，其住院医师规范化培训合格证书可于 2024年12月31日前提供。 </w:t>
      </w:r>
    </w:p>
    <w:p>
      <w:pPr>
        <w:keepNext w:val="0"/>
        <w:keepLines w:val="0"/>
        <w:widowControl/>
        <w:suppressLineNumbers w:val="0"/>
        <w:ind w:firstLine="620" w:firstLineChars="200"/>
        <w:jc w:val="both"/>
        <w:rPr>
          <w:rFonts w:hint="eastAsia" w:ascii="仿宋_GB2312" w:hAnsi="宋体" w:eastAsia="仿宋_GB2312" w:cs="仿宋_GB2312"/>
          <w:color w:val="auto"/>
          <w:kern w:val="0"/>
          <w:sz w:val="31"/>
          <w:szCs w:val="31"/>
          <w:highlight w:val="none"/>
          <w:lang w:val="en-US" w:eastAsia="zh-CN" w:bidi="ar"/>
        </w:rPr>
      </w:pPr>
      <w:r>
        <w:rPr>
          <w:rFonts w:hint="eastAsia" w:ascii="仿宋_GB2312" w:hAnsi="宋体" w:eastAsia="仿宋_GB2312" w:cs="仿宋_GB2312"/>
          <w:color w:val="auto"/>
          <w:kern w:val="0"/>
          <w:sz w:val="31"/>
          <w:szCs w:val="31"/>
          <w:highlight w:val="none"/>
          <w:lang w:val="en-US" w:eastAsia="zh-CN" w:bidi="ar"/>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pPr>
        <w:numPr>
          <w:ilvl w:val="0"/>
          <w:numId w:val="6"/>
        </w:numPr>
        <w:ind w:left="0" w:leftChars="0" w:firstLine="420" w:firstLineChars="0"/>
        <w:outlineLvl w:val="1"/>
        <w:rPr>
          <w:rFonts w:hint="eastAsia" w:ascii="楷体" w:hAnsi="楷体" w:eastAsia="楷体"/>
          <w:b/>
          <w:bCs w:val="0"/>
          <w:color w:val="auto"/>
          <w:sz w:val="32"/>
          <w:szCs w:val="32"/>
          <w:highlight w:val="none"/>
          <w:lang w:val="en-US" w:eastAsia="zh-CN"/>
        </w:rPr>
      </w:pPr>
      <w:bookmarkStart w:id="75" w:name="_Toc15409"/>
      <w:r>
        <w:rPr>
          <w:rFonts w:hint="eastAsia" w:ascii="楷体" w:hAnsi="楷体" w:eastAsia="楷体"/>
          <w:b/>
          <w:bCs w:val="0"/>
          <w:color w:val="auto"/>
          <w:sz w:val="32"/>
          <w:szCs w:val="32"/>
          <w:highlight w:val="none"/>
          <w:lang w:val="en-US" w:eastAsia="zh-CN"/>
        </w:rPr>
        <w:t>其他</w:t>
      </w:r>
      <w:bookmarkEnd w:id="75"/>
    </w:p>
    <w:p>
      <w:pPr>
        <w:keepNext w:val="0"/>
        <w:keepLines w:val="0"/>
        <w:widowControl/>
        <w:suppressLineNumbers w:val="0"/>
        <w:ind w:firstLine="620" w:firstLineChars="200"/>
        <w:jc w:val="left"/>
        <w:rPr>
          <w:rFonts w:hint="eastAsia" w:ascii="仿宋_GB2312" w:hAnsi="宋体" w:eastAsia="仿宋_GB2312" w:cs="仿宋_GB2312"/>
          <w:color w:val="auto"/>
          <w:kern w:val="0"/>
          <w:sz w:val="31"/>
          <w:szCs w:val="31"/>
          <w:highlight w:val="none"/>
          <w:lang w:val="en-US" w:eastAsia="zh-CN" w:bidi="ar"/>
        </w:rPr>
      </w:pPr>
      <w:r>
        <w:rPr>
          <w:rFonts w:hint="eastAsia" w:ascii="仿宋_GB2312" w:hAnsi="宋体" w:eastAsia="仿宋_GB2312" w:cs="仿宋_GB2312"/>
          <w:color w:val="auto"/>
          <w:kern w:val="0"/>
          <w:sz w:val="31"/>
          <w:szCs w:val="31"/>
          <w:highlight w:val="none"/>
          <w:lang w:val="en-US" w:eastAsia="zh-CN" w:bidi="ar"/>
        </w:rPr>
        <w:t>2024年毕业的医学专业“四证合一”应届研究生已取得《医师执业证书》但未明确执业范围且最高学历所学专业为岗位要求专业的，可以报考</w:t>
      </w:r>
      <w:r>
        <w:rPr>
          <w:rFonts w:hint="eastAsia" w:ascii="仿宋_GB2312" w:hAnsi="仿宋_GB2312" w:eastAsia="仿宋_GB2312" w:cs="仿宋_GB2312"/>
          <w:i w:val="0"/>
          <w:caps w:val="0"/>
          <w:color w:val="auto"/>
          <w:spacing w:val="0"/>
          <w:sz w:val="32"/>
          <w:szCs w:val="32"/>
          <w:highlight w:val="none"/>
          <w:lang w:val="en-US" w:eastAsia="zh-CN"/>
        </w:rPr>
        <w:t>岗位资格条件</w:t>
      </w:r>
      <w:r>
        <w:rPr>
          <w:rFonts w:hint="eastAsia" w:ascii="仿宋_GB2312" w:hAnsi="宋体" w:eastAsia="仿宋_GB2312" w:cs="仿宋_GB2312"/>
          <w:color w:val="auto"/>
          <w:kern w:val="0"/>
          <w:sz w:val="31"/>
          <w:szCs w:val="31"/>
          <w:highlight w:val="none"/>
          <w:lang w:val="en-US" w:eastAsia="zh-CN" w:bidi="ar"/>
        </w:rPr>
        <w:t>中有明确要求执业范围的岗位。</w:t>
      </w:r>
    </w:p>
    <w:p>
      <w:pPr>
        <w:numPr>
          <w:ilvl w:val="0"/>
          <w:numId w:val="4"/>
        </w:numPr>
        <w:ind w:firstLine="643" w:firstLineChars="200"/>
        <w:outlineLvl w:val="0"/>
        <w:rPr>
          <w:rFonts w:hint="eastAsia" w:ascii="黑体" w:hAnsi="黑体" w:eastAsia="黑体"/>
          <w:b/>
          <w:bCs/>
          <w:color w:val="auto"/>
          <w:sz w:val="32"/>
          <w:szCs w:val="32"/>
          <w:highlight w:val="none"/>
        </w:rPr>
      </w:pPr>
      <w:bookmarkStart w:id="76" w:name="_Toc20164"/>
      <w:r>
        <w:rPr>
          <w:rFonts w:hint="eastAsia" w:ascii="黑体" w:hAnsi="黑体" w:eastAsia="黑体"/>
          <w:b/>
          <w:bCs/>
          <w:color w:val="auto"/>
          <w:sz w:val="32"/>
          <w:szCs w:val="32"/>
          <w:highlight w:val="none"/>
        </w:rPr>
        <w:t>网上报名操作</w:t>
      </w:r>
      <w:r>
        <w:rPr>
          <w:rFonts w:hint="eastAsia" w:ascii="黑体" w:hAnsi="黑体" w:eastAsia="黑体"/>
          <w:b/>
          <w:bCs/>
          <w:color w:val="auto"/>
          <w:sz w:val="32"/>
          <w:szCs w:val="32"/>
          <w:highlight w:val="none"/>
          <w:lang w:eastAsia="zh-CN"/>
        </w:rPr>
        <w:t>须知</w:t>
      </w:r>
      <w:bookmarkEnd w:id="76"/>
    </w:p>
    <w:p>
      <w:pPr>
        <w:ind w:firstLine="640" w:firstLineChars="200"/>
        <w:rPr>
          <w:rFonts w:hint="eastAsia" w:ascii="仿宋_GB2312" w:eastAsia="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lang w:val="en-US" w:eastAsia="zh-CN"/>
        </w:rPr>
        <w:t>考生须通过“闽政通APP”L4级身份认证，方可报名。</w:t>
      </w:r>
    </w:p>
    <w:p>
      <w:pPr>
        <w:numPr>
          <w:ilvl w:val="0"/>
          <w:numId w:val="7"/>
        </w:numPr>
        <w:ind w:firstLine="643" w:firstLineChars="200"/>
        <w:outlineLvl w:val="1"/>
        <w:rPr>
          <w:rFonts w:hint="eastAsia" w:ascii="楷体" w:hAnsi="楷体" w:eastAsia="楷体"/>
          <w:b/>
          <w:color w:val="auto"/>
          <w:sz w:val="32"/>
          <w:szCs w:val="32"/>
          <w:highlight w:val="none"/>
        </w:rPr>
      </w:pPr>
      <w:bookmarkStart w:id="77" w:name="_Toc30184"/>
      <w:r>
        <w:rPr>
          <w:rFonts w:hint="eastAsia" w:ascii="楷体" w:hAnsi="楷体" w:eastAsia="楷体"/>
          <w:b/>
          <w:color w:val="auto"/>
          <w:sz w:val="32"/>
          <w:szCs w:val="32"/>
          <w:highlight w:val="none"/>
        </w:rPr>
        <w:t>报名信息填写</w:t>
      </w:r>
      <w:bookmarkEnd w:id="77"/>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8"/>
        </w:numPr>
        <w:ind w:left="803" w:leftChars="0" w:firstLine="0" w:firstLineChars="0"/>
        <w:outlineLvl w:val="2"/>
        <w:rPr>
          <w:rFonts w:hint="eastAsia" w:ascii="仿宋_GB2312" w:hAnsi="仿宋_GB2312" w:eastAsia="仿宋_GB2312" w:cs="仿宋_GB2312"/>
          <w:b/>
          <w:bCs w:val="0"/>
          <w:color w:val="auto"/>
          <w:sz w:val="32"/>
          <w:szCs w:val="32"/>
          <w:highlight w:val="none"/>
          <w:lang w:val="en-US" w:eastAsia="zh-CN"/>
        </w:rPr>
      </w:pPr>
      <w:bookmarkStart w:id="78" w:name="_Toc10868"/>
      <w:bookmarkStart w:id="79" w:name="_Toc3262"/>
      <w:bookmarkStart w:id="80" w:name="_Toc16055"/>
      <w:bookmarkStart w:id="81" w:name="_Toc22865"/>
      <w:r>
        <w:rPr>
          <w:rFonts w:hint="eastAsia" w:ascii="仿宋_GB2312" w:hAnsi="仿宋_GB2312" w:eastAsia="仿宋_GB2312" w:cs="仿宋_GB2312"/>
          <w:b/>
          <w:bCs w:val="0"/>
          <w:color w:val="auto"/>
          <w:sz w:val="32"/>
          <w:szCs w:val="32"/>
          <w:highlight w:val="none"/>
          <w:lang w:val="en-US" w:eastAsia="zh-CN"/>
        </w:rPr>
        <w:t>首次在报名系统注册的考生</w:t>
      </w:r>
      <w:bookmarkEnd w:id="78"/>
      <w:bookmarkEnd w:id="79"/>
      <w:bookmarkEnd w:id="80"/>
      <w:bookmarkEnd w:id="81"/>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8"/>
        </w:numPr>
        <w:ind w:left="803" w:leftChars="0" w:firstLine="0" w:firstLineChars="0"/>
        <w:outlineLvl w:val="2"/>
        <w:rPr>
          <w:rFonts w:hint="eastAsia" w:ascii="仿宋_GB2312" w:hAnsi="仿宋_GB2312" w:eastAsia="仿宋_GB2312" w:cs="仿宋_GB2312"/>
          <w:b/>
          <w:bCs w:val="0"/>
          <w:color w:val="auto"/>
          <w:sz w:val="32"/>
          <w:szCs w:val="32"/>
          <w:highlight w:val="none"/>
          <w:lang w:val="en-US" w:eastAsia="zh-CN"/>
        </w:rPr>
      </w:pPr>
      <w:bookmarkStart w:id="82" w:name="_Toc13506"/>
      <w:bookmarkStart w:id="83" w:name="_Toc16611"/>
      <w:bookmarkStart w:id="84" w:name="_Toc5835"/>
      <w:bookmarkStart w:id="85" w:name="_Toc1099"/>
      <w:r>
        <w:rPr>
          <w:rFonts w:hint="eastAsia" w:ascii="仿宋_GB2312" w:hAnsi="仿宋_GB2312" w:eastAsia="仿宋_GB2312" w:cs="仿宋_GB2312"/>
          <w:b/>
          <w:bCs w:val="0"/>
          <w:color w:val="auto"/>
          <w:sz w:val="32"/>
          <w:szCs w:val="32"/>
          <w:highlight w:val="none"/>
          <w:lang w:val="en-US" w:eastAsia="zh-CN"/>
        </w:rPr>
        <w:t>曾在报名系统注册的考生</w:t>
      </w:r>
      <w:bookmarkEnd w:id="82"/>
      <w:bookmarkEnd w:id="83"/>
      <w:bookmarkEnd w:id="84"/>
      <w:bookmarkEnd w:id="85"/>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7"/>
        </w:numPr>
        <w:ind w:firstLine="643" w:firstLineChars="200"/>
        <w:outlineLvl w:val="1"/>
        <w:rPr>
          <w:rFonts w:hint="eastAsia" w:ascii="楷体" w:hAnsi="楷体" w:eastAsia="楷体"/>
          <w:b/>
          <w:color w:val="auto"/>
          <w:sz w:val="32"/>
          <w:szCs w:val="32"/>
          <w:highlight w:val="none"/>
        </w:rPr>
      </w:pPr>
      <w:bookmarkStart w:id="86" w:name="_Toc9393"/>
      <w:r>
        <w:rPr>
          <w:rFonts w:hint="eastAsia" w:ascii="楷体" w:hAnsi="楷体" w:eastAsia="楷体"/>
          <w:b/>
          <w:color w:val="auto"/>
          <w:sz w:val="32"/>
          <w:szCs w:val="32"/>
          <w:highlight w:val="none"/>
          <w:lang w:eastAsia="zh-CN"/>
        </w:rPr>
        <w:t>报名次数限定</w:t>
      </w:r>
      <w:bookmarkEnd w:id="86"/>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ind w:firstLine="640" w:firstLineChars="200"/>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7"/>
        </w:numPr>
        <w:ind w:firstLine="643" w:firstLineChars="200"/>
        <w:outlineLvl w:val="1"/>
        <w:rPr>
          <w:rFonts w:hint="eastAsia" w:ascii="楷体" w:hAnsi="楷体" w:eastAsia="楷体"/>
          <w:b/>
          <w:color w:val="auto"/>
          <w:sz w:val="32"/>
          <w:szCs w:val="32"/>
          <w:highlight w:val="none"/>
        </w:rPr>
      </w:pPr>
      <w:bookmarkStart w:id="87" w:name="_Toc15533"/>
      <w:r>
        <w:rPr>
          <w:rFonts w:hint="eastAsia" w:ascii="楷体" w:hAnsi="楷体" w:eastAsia="楷体"/>
          <w:b/>
          <w:color w:val="auto"/>
          <w:sz w:val="32"/>
          <w:szCs w:val="32"/>
          <w:highlight w:val="none"/>
          <w:lang w:eastAsia="zh-CN"/>
        </w:rPr>
        <w:t>申诉注意事项</w:t>
      </w:r>
      <w:bookmarkEnd w:id="87"/>
    </w:p>
    <w:p>
      <w:pPr>
        <w:ind w:firstLine="643" w:firstLineChars="200"/>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eastAsia="zh-CN"/>
        </w:rPr>
        <w:t>申诉功能只能使用</w:t>
      </w:r>
      <w:r>
        <w:rPr>
          <w:rFonts w:hint="eastAsia" w:ascii="仿宋_GB2312" w:eastAsia="仿宋_GB2312"/>
          <w:b/>
          <w:bCs/>
          <w:color w:val="auto"/>
          <w:sz w:val="32"/>
          <w:szCs w:val="32"/>
          <w:highlight w:val="none"/>
          <w:lang w:val="en-US" w:eastAsia="zh-CN"/>
        </w:rPr>
        <w:t>1</w:t>
      </w:r>
      <w:r>
        <w:rPr>
          <w:rFonts w:hint="eastAsia" w:ascii="仿宋_GB2312" w:eastAsia="仿宋_GB2312"/>
          <w:b/>
          <w:bCs/>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spacing w:line="560" w:lineRule="exact"/>
        <w:ind w:firstLine="643" w:firstLineChars="200"/>
        <w:rPr>
          <w:rFonts w:hint="eastAsia" w:ascii="楷体_GB2312" w:hAnsi="楷体_GB2312" w:eastAsia="楷体_GB2312" w:cs="楷体_GB2312"/>
          <w:b/>
          <w:bCs w:val="0"/>
          <w:strike/>
          <w:dstrike w:val="0"/>
          <w:color w:val="auto"/>
          <w:kern w:val="0"/>
          <w:sz w:val="32"/>
          <w:szCs w:val="32"/>
          <w:highlight w:val="none"/>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54202"/>
    <w:multiLevelType w:val="singleLevel"/>
    <w:tmpl w:val="9D254202"/>
    <w:lvl w:ilvl="0" w:tentative="0">
      <w:start w:val="1"/>
      <w:numFmt w:val="chineseCounting"/>
      <w:suff w:val="nothing"/>
      <w:lvlText w:val="（%1）"/>
      <w:lvlJc w:val="left"/>
      <w:rPr>
        <w:rFonts w:hint="eastAsia"/>
      </w:rPr>
    </w:lvl>
  </w:abstractNum>
  <w:abstractNum w:abstractNumId="1">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2">
    <w:nsid w:val="B50CCCFE"/>
    <w:multiLevelType w:val="singleLevel"/>
    <w:tmpl w:val="B50CCCFE"/>
    <w:lvl w:ilvl="0" w:tentative="0">
      <w:start w:val="1"/>
      <w:numFmt w:val="chineseCounting"/>
      <w:suff w:val="nothing"/>
      <w:lvlText w:val="（%1）"/>
      <w:lvlJc w:val="left"/>
      <w:rPr>
        <w:rFonts w:hint="eastAsia"/>
      </w:rPr>
    </w:lvl>
  </w:abstractNum>
  <w:abstractNum w:abstractNumId="3">
    <w:nsid w:val="BE17E7BB"/>
    <w:multiLevelType w:val="singleLevel"/>
    <w:tmpl w:val="BE17E7BB"/>
    <w:lvl w:ilvl="0" w:tentative="0">
      <w:start w:val="3"/>
      <w:numFmt w:val="chineseCounting"/>
      <w:suff w:val="nothing"/>
      <w:lvlText w:val="（%1）"/>
      <w:lvlJc w:val="left"/>
      <w:rPr>
        <w:rFonts w:hint="eastAsia"/>
      </w:rPr>
    </w:lvl>
  </w:abstractNum>
  <w:abstractNum w:abstractNumId="4">
    <w:nsid w:val="DDA54155"/>
    <w:multiLevelType w:val="singleLevel"/>
    <w:tmpl w:val="DDA54155"/>
    <w:lvl w:ilvl="0" w:tentative="0">
      <w:start w:val="4"/>
      <w:numFmt w:val="chineseCounting"/>
      <w:suff w:val="nothing"/>
      <w:lvlText w:val="%1、"/>
      <w:lvlJc w:val="left"/>
      <w:rPr>
        <w:rFonts w:hint="eastAsia" w:ascii="黑体" w:hAnsi="黑体" w:eastAsia="黑体" w:cs="黑体"/>
        <w:strike w:val="0"/>
        <w:dstrike w:val="0"/>
      </w:rPr>
    </w:lvl>
  </w:abstractNum>
  <w:abstractNum w:abstractNumId="5">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6">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abstractNum w:abstractNumId="7">
    <w:nsid w:val="6DCB4CBE"/>
    <w:multiLevelType w:val="singleLevel"/>
    <w:tmpl w:val="6DCB4CBE"/>
    <w:lvl w:ilvl="0" w:tentative="0">
      <w:start w:val="1"/>
      <w:numFmt w:val="chineseCounting"/>
      <w:suff w:val="nothing"/>
      <w:lvlText w:val="（%1）"/>
      <w:lvlJc w:val="left"/>
      <w:pPr>
        <w:ind w:left="0" w:firstLine="420"/>
      </w:pPr>
      <w:rPr>
        <w:rFonts w:hint="eastAsia" w:ascii="楷体" w:hAnsi="楷体" w:eastAsia="楷体" w:cs="楷体"/>
        <w:strike w:val="0"/>
        <w:dstrike w:val="0"/>
      </w:rPr>
    </w:lvl>
  </w:abstractNum>
  <w:num w:numId="1">
    <w:abstractNumId w:val="1"/>
  </w:num>
  <w:num w:numId="2">
    <w:abstractNumId w:val="6"/>
  </w:num>
  <w:num w:numId="3">
    <w:abstractNumId w:val="3"/>
  </w:num>
  <w:num w:numId="4">
    <w:abstractNumId w:val="4"/>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0YTk4ZDBlMWJmZDFiYzQwM2I0NmQyZThhOTAyNWYifQ=="/>
  </w:docVars>
  <w:rsids>
    <w:rsidRoot w:val="00CA3A16"/>
    <w:rsid w:val="00137BC5"/>
    <w:rsid w:val="0014786A"/>
    <w:rsid w:val="0017732C"/>
    <w:rsid w:val="00283FFF"/>
    <w:rsid w:val="003477C2"/>
    <w:rsid w:val="0039564C"/>
    <w:rsid w:val="00413DE3"/>
    <w:rsid w:val="00AA508C"/>
    <w:rsid w:val="00CA3A16"/>
    <w:rsid w:val="00E501FF"/>
    <w:rsid w:val="012E4057"/>
    <w:rsid w:val="01706B3D"/>
    <w:rsid w:val="01877A92"/>
    <w:rsid w:val="01E54F4F"/>
    <w:rsid w:val="029C19EF"/>
    <w:rsid w:val="02AF79A2"/>
    <w:rsid w:val="034E4D00"/>
    <w:rsid w:val="034F07D5"/>
    <w:rsid w:val="040A5012"/>
    <w:rsid w:val="0431644B"/>
    <w:rsid w:val="04F6562F"/>
    <w:rsid w:val="055067D2"/>
    <w:rsid w:val="060D0DBE"/>
    <w:rsid w:val="061C162C"/>
    <w:rsid w:val="063C65E5"/>
    <w:rsid w:val="06B534C8"/>
    <w:rsid w:val="06EA3643"/>
    <w:rsid w:val="07872889"/>
    <w:rsid w:val="083C6075"/>
    <w:rsid w:val="0A2926EC"/>
    <w:rsid w:val="0ABE0466"/>
    <w:rsid w:val="0AC54620"/>
    <w:rsid w:val="0AC74CA5"/>
    <w:rsid w:val="0C362919"/>
    <w:rsid w:val="0C42075F"/>
    <w:rsid w:val="0C62192F"/>
    <w:rsid w:val="0C707DBE"/>
    <w:rsid w:val="0C9537CF"/>
    <w:rsid w:val="0CF954AD"/>
    <w:rsid w:val="0CFA7F8B"/>
    <w:rsid w:val="0D1D4FC7"/>
    <w:rsid w:val="0E54656B"/>
    <w:rsid w:val="0E666006"/>
    <w:rsid w:val="0E792691"/>
    <w:rsid w:val="0EEC0086"/>
    <w:rsid w:val="0EFC1000"/>
    <w:rsid w:val="0FA821AF"/>
    <w:rsid w:val="11120E04"/>
    <w:rsid w:val="11142108"/>
    <w:rsid w:val="115C0282"/>
    <w:rsid w:val="116E53E2"/>
    <w:rsid w:val="11D50F5D"/>
    <w:rsid w:val="12466C5E"/>
    <w:rsid w:val="127C59E8"/>
    <w:rsid w:val="12B17B3E"/>
    <w:rsid w:val="137A7CA3"/>
    <w:rsid w:val="14176DC6"/>
    <w:rsid w:val="145D3DE8"/>
    <w:rsid w:val="15714F96"/>
    <w:rsid w:val="15D95F9E"/>
    <w:rsid w:val="15E92563"/>
    <w:rsid w:val="171574FB"/>
    <w:rsid w:val="175B119E"/>
    <w:rsid w:val="17682FA1"/>
    <w:rsid w:val="18581580"/>
    <w:rsid w:val="18904636"/>
    <w:rsid w:val="18DC4FBF"/>
    <w:rsid w:val="19FFEA78"/>
    <w:rsid w:val="1B9A6D1B"/>
    <w:rsid w:val="1DDD32AC"/>
    <w:rsid w:val="1E381C14"/>
    <w:rsid w:val="1F642B07"/>
    <w:rsid w:val="1FAD1DE7"/>
    <w:rsid w:val="1FAE3AD8"/>
    <w:rsid w:val="2004137B"/>
    <w:rsid w:val="20717870"/>
    <w:rsid w:val="207874E7"/>
    <w:rsid w:val="20D11DC7"/>
    <w:rsid w:val="2107136B"/>
    <w:rsid w:val="212E6965"/>
    <w:rsid w:val="21771570"/>
    <w:rsid w:val="21CD6AB5"/>
    <w:rsid w:val="21F41D88"/>
    <w:rsid w:val="221236C5"/>
    <w:rsid w:val="22A55E50"/>
    <w:rsid w:val="23916A34"/>
    <w:rsid w:val="23DA0315"/>
    <w:rsid w:val="23FF64C8"/>
    <w:rsid w:val="24100CB5"/>
    <w:rsid w:val="242714D3"/>
    <w:rsid w:val="248C709C"/>
    <w:rsid w:val="25454C78"/>
    <w:rsid w:val="25B64A56"/>
    <w:rsid w:val="2690248F"/>
    <w:rsid w:val="27434329"/>
    <w:rsid w:val="27821282"/>
    <w:rsid w:val="27A609B1"/>
    <w:rsid w:val="27E04362"/>
    <w:rsid w:val="28654F9C"/>
    <w:rsid w:val="287A7EB7"/>
    <w:rsid w:val="2984574B"/>
    <w:rsid w:val="29DC3048"/>
    <w:rsid w:val="2A07393E"/>
    <w:rsid w:val="2A9640F7"/>
    <w:rsid w:val="2AB177FA"/>
    <w:rsid w:val="2AB5156E"/>
    <w:rsid w:val="2AB93EDB"/>
    <w:rsid w:val="2D0A1C91"/>
    <w:rsid w:val="2D146264"/>
    <w:rsid w:val="2D1620D0"/>
    <w:rsid w:val="2D3D3232"/>
    <w:rsid w:val="2DCD29B8"/>
    <w:rsid w:val="2E10141D"/>
    <w:rsid w:val="2ED55ABF"/>
    <w:rsid w:val="2EE36BA3"/>
    <w:rsid w:val="2EFF3BB2"/>
    <w:rsid w:val="2F284924"/>
    <w:rsid w:val="2FF31FA0"/>
    <w:rsid w:val="30496ABC"/>
    <w:rsid w:val="306B2452"/>
    <w:rsid w:val="32A52DB1"/>
    <w:rsid w:val="330D7063"/>
    <w:rsid w:val="331D1B45"/>
    <w:rsid w:val="33570712"/>
    <w:rsid w:val="34054802"/>
    <w:rsid w:val="34171B12"/>
    <w:rsid w:val="34D423BC"/>
    <w:rsid w:val="34D735D7"/>
    <w:rsid w:val="351F4E18"/>
    <w:rsid w:val="357E6D44"/>
    <w:rsid w:val="36254EF0"/>
    <w:rsid w:val="36433543"/>
    <w:rsid w:val="37F762E2"/>
    <w:rsid w:val="388147D1"/>
    <w:rsid w:val="38A17E31"/>
    <w:rsid w:val="38E170A5"/>
    <w:rsid w:val="38EB3BCB"/>
    <w:rsid w:val="3A367B8B"/>
    <w:rsid w:val="3BA03D2D"/>
    <w:rsid w:val="3BC67AFC"/>
    <w:rsid w:val="3CAA7142"/>
    <w:rsid w:val="3D3C6670"/>
    <w:rsid w:val="3D5926B2"/>
    <w:rsid w:val="3E562D7D"/>
    <w:rsid w:val="3E5A77F2"/>
    <w:rsid w:val="3F2661A4"/>
    <w:rsid w:val="3F9A3645"/>
    <w:rsid w:val="3FA304C4"/>
    <w:rsid w:val="406D6EFE"/>
    <w:rsid w:val="40B5380B"/>
    <w:rsid w:val="40F0731A"/>
    <w:rsid w:val="4291180A"/>
    <w:rsid w:val="42E507E1"/>
    <w:rsid w:val="431A4FDF"/>
    <w:rsid w:val="435E60E4"/>
    <w:rsid w:val="43E56187"/>
    <w:rsid w:val="450E5498"/>
    <w:rsid w:val="45C66CF9"/>
    <w:rsid w:val="45D103AB"/>
    <w:rsid w:val="463D3A2F"/>
    <w:rsid w:val="46B84C96"/>
    <w:rsid w:val="46DF3096"/>
    <w:rsid w:val="46FA6E62"/>
    <w:rsid w:val="47240519"/>
    <w:rsid w:val="475D390B"/>
    <w:rsid w:val="4A880C0A"/>
    <w:rsid w:val="4C3825A0"/>
    <w:rsid w:val="4C9B4511"/>
    <w:rsid w:val="4D667BAF"/>
    <w:rsid w:val="4E073F0E"/>
    <w:rsid w:val="4EBD7FB6"/>
    <w:rsid w:val="4EC918D2"/>
    <w:rsid w:val="4EE73456"/>
    <w:rsid w:val="4F675ED1"/>
    <w:rsid w:val="4F895F71"/>
    <w:rsid w:val="50247421"/>
    <w:rsid w:val="50B679B6"/>
    <w:rsid w:val="53564D9D"/>
    <w:rsid w:val="540313D5"/>
    <w:rsid w:val="54EC7875"/>
    <w:rsid w:val="554A40DA"/>
    <w:rsid w:val="557377A3"/>
    <w:rsid w:val="55A451A2"/>
    <w:rsid w:val="56BE477A"/>
    <w:rsid w:val="576324C7"/>
    <w:rsid w:val="576F2D86"/>
    <w:rsid w:val="579E6CD9"/>
    <w:rsid w:val="57D325F5"/>
    <w:rsid w:val="59442D7B"/>
    <w:rsid w:val="5A283182"/>
    <w:rsid w:val="5A551433"/>
    <w:rsid w:val="5A9340A0"/>
    <w:rsid w:val="5AAA10A0"/>
    <w:rsid w:val="5AE23015"/>
    <w:rsid w:val="5C033BC0"/>
    <w:rsid w:val="5C620362"/>
    <w:rsid w:val="5C976E58"/>
    <w:rsid w:val="5CC84C5F"/>
    <w:rsid w:val="5DFF4EA3"/>
    <w:rsid w:val="5F3A704F"/>
    <w:rsid w:val="603C3BAE"/>
    <w:rsid w:val="612F6021"/>
    <w:rsid w:val="61A8597B"/>
    <w:rsid w:val="633A3546"/>
    <w:rsid w:val="639B0457"/>
    <w:rsid w:val="6529276A"/>
    <w:rsid w:val="65561D37"/>
    <w:rsid w:val="67587B68"/>
    <w:rsid w:val="68753401"/>
    <w:rsid w:val="68C55500"/>
    <w:rsid w:val="69767728"/>
    <w:rsid w:val="6A1F5B15"/>
    <w:rsid w:val="6A1F6AAF"/>
    <w:rsid w:val="6ACA2314"/>
    <w:rsid w:val="6B6C2E6F"/>
    <w:rsid w:val="6BB97558"/>
    <w:rsid w:val="6BDD91FD"/>
    <w:rsid w:val="6BE172C8"/>
    <w:rsid w:val="6C896BC3"/>
    <w:rsid w:val="6CA42558"/>
    <w:rsid w:val="6D9912B9"/>
    <w:rsid w:val="6E5D1E1F"/>
    <w:rsid w:val="6E5F2B55"/>
    <w:rsid w:val="6E69026A"/>
    <w:rsid w:val="6F122394"/>
    <w:rsid w:val="6FFFAA6E"/>
    <w:rsid w:val="708C0CCC"/>
    <w:rsid w:val="70EA56E6"/>
    <w:rsid w:val="70EE53CD"/>
    <w:rsid w:val="712712B8"/>
    <w:rsid w:val="736B2384"/>
    <w:rsid w:val="73DA81D4"/>
    <w:rsid w:val="74156E9F"/>
    <w:rsid w:val="74177270"/>
    <w:rsid w:val="746F7336"/>
    <w:rsid w:val="747852FC"/>
    <w:rsid w:val="75CD167C"/>
    <w:rsid w:val="777506C5"/>
    <w:rsid w:val="7789021B"/>
    <w:rsid w:val="77EC41DA"/>
    <w:rsid w:val="77FA644E"/>
    <w:rsid w:val="78123420"/>
    <w:rsid w:val="785B6B77"/>
    <w:rsid w:val="78DE52DA"/>
    <w:rsid w:val="78E77648"/>
    <w:rsid w:val="793C4AC0"/>
    <w:rsid w:val="795F3C44"/>
    <w:rsid w:val="796650F2"/>
    <w:rsid w:val="796D3657"/>
    <w:rsid w:val="79FD47AD"/>
    <w:rsid w:val="7A2B232E"/>
    <w:rsid w:val="7A595755"/>
    <w:rsid w:val="7BFBAFC1"/>
    <w:rsid w:val="7C615798"/>
    <w:rsid w:val="7D4A461B"/>
    <w:rsid w:val="7D8E4E41"/>
    <w:rsid w:val="7DA302C5"/>
    <w:rsid w:val="7E411833"/>
    <w:rsid w:val="7E924827"/>
    <w:rsid w:val="7F526B1C"/>
    <w:rsid w:val="7F771774"/>
    <w:rsid w:val="7FE650A6"/>
    <w:rsid w:val="7FF3E080"/>
    <w:rsid w:val="B1FF8971"/>
    <w:rsid w:val="B3ECF973"/>
    <w:rsid w:val="CFD3116A"/>
    <w:rsid w:val="E7FFC93C"/>
    <w:rsid w:val="EFACC64E"/>
    <w:rsid w:val="EFF673EA"/>
    <w:rsid w:val="FAFF7655"/>
    <w:rsid w:val="FBED2117"/>
    <w:rsid w:val="FC7953B8"/>
    <w:rsid w:val="FD6B1657"/>
    <w:rsid w:val="FFEDD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toc 3"/>
    <w:basedOn w:val="1"/>
    <w:next w:val="1"/>
    <w:autoRedefine/>
    <w:semiHidden/>
    <w:unhideWhenUsed/>
    <w:qFormat/>
    <w:uiPriority w:val="39"/>
    <w:pPr>
      <w:ind w:left="840" w:leftChars="400"/>
    </w:p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semiHidden/>
    <w:unhideWhenUsed/>
    <w:qFormat/>
    <w:uiPriority w:val="39"/>
  </w:style>
  <w:style w:type="paragraph" w:styleId="7">
    <w:name w:val="toc 2"/>
    <w:basedOn w:val="1"/>
    <w:next w:val="1"/>
    <w:autoRedefine/>
    <w:semiHidden/>
    <w:unhideWhenUsed/>
    <w:qFormat/>
    <w:uiPriority w:val="39"/>
    <w:pPr>
      <w:ind w:left="420" w:leftChars="200"/>
    </w:pPr>
  </w:style>
  <w:style w:type="paragraph" w:styleId="8">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12">
    <w:name w:val="Hyperlink"/>
    <w:basedOn w:val="11"/>
    <w:autoRedefine/>
    <w:semiHidden/>
    <w:unhideWhenUsed/>
    <w:qFormat/>
    <w:uiPriority w:val="99"/>
    <w:rPr>
      <w:color w:val="0000FF"/>
      <w:u w:val="single"/>
    </w:rPr>
  </w:style>
  <w:style w:type="character" w:customStyle="1" w:styleId="13">
    <w:name w:val="页眉 Char"/>
    <w:basedOn w:val="11"/>
    <w:link w:val="5"/>
    <w:autoRedefine/>
    <w:semiHidden/>
    <w:qFormat/>
    <w:uiPriority w:val="99"/>
    <w:rPr>
      <w:sz w:val="18"/>
      <w:szCs w:val="18"/>
    </w:rPr>
  </w:style>
  <w:style w:type="character" w:customStyle="1" w:styleId="14">
    <w:name w:val="页脚 Char"/>
    <w:basedOn w:val="11"/>
    <w:link w:val="4"/>
    <w:autoRedefine/>
    <w:qFormat/>
    <w:uiPriority w:val="99"/>
    <w:rPr>
      <w:sz w:val="18"/>
      <w:szCs w:val="18"/>
    </w:rPr>
  </w:style>
  <w:style w:type="paragraph" w:customStyle="1" w:styleId="15">
    <w:name w:val="WPSOffice手动目录 1"/>
    <w:autoRedefine/>
    <w:qFormat/>
    <w:uiPriority w:val="0"/>
    <w:pPr>
      <w:ind w:leftChars="0"/>
    </w:pPr>
    <w:rPr>
      <w:rFonts w:ascii="Times New Roman" w:hAnsi="Times New Roman" w:eastAsia="宋体" w:cs="Times New Roman"/>
      <w:sz w:val="20"/>
      <w:szCs w:val="20"/>
    </w:rPr>
  </w:style>
  <w:style w:type="paragraph" w:customStyle="1" w:styleId="16">
    <w:name w:val="WPSOffice手动目录 2"/>
    <w:autoRedefine/>
    <w:qFormat/>
    <w:uiPriority w:val="0"/>
    <w:pPr>
      <w:ind w:leftChars="200"/>
    </w:pPr>
    <w:rPr>
      <w:rFonts w:ascii="Times New Roman" w:hAnsi="Times New Roman" w:eastAsia="宋体" w:cs="Times New Roman"/>
      <w:sz w:val="20"/>
      <w:szCs w:val="20"/>
    </w:rPr>
  </w:style>
  <w:style w:type="paragraph" w:customStyle="1" w:styleId="17">
    <w:name w:val="WPSOffice手动目录 3"/>
    <w:autoRedefine/>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11124</Words>
  <Characters>11487</Characters>
  <Lines>66</Lines>
  <Paragraphs>18</Paragraphs>
  <TotalTime>4</TotalTime>
  <ScaleCrop>false</ScaleCrop>
  <LinksUpToDate>false</LinksUpToDate>
  <CharactersWithSpaces>11706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2019-09-17T00:54:00Z</dcterms:created>
  <dc:creator>dell</dc:creator>
  <cp:lastModifiedBy>CYSherlockH</cp:lastModifiedBy>
  <cp:lastPrinted>2024-03-20T00:36:00Z</cp:lastPrinted>
  <dcterms:modified xsi:type="dcterms:W3CDTF">2024-03-29T01:33:44Z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C12950F6D464409FA83742D1E73A9318_13</vt:lpwstr>
  </property>
</Properties>
</file>