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kern w:val="0"/>
          <w:sz w:val="32"/>
          <w:szCs w:val="32"/>
          <w:shd w:val="clear" w:color="auto" w:fill="FFFFFF"/>
          <w:lang w:eastAsia="zh-CN"/>
        </w:rPr>
      </w:pPr>
      <w:r>
        <w:rPr>
          <w:rFonts w:ascii="黑体" w:hAnsi="黑体" w:eastAsia="黑体"/>
          <w:kern w:val="0"/>
          <w:sz w:val="32"/>
          <w:szCs w:val="32"/>
          <w:shd w:val="clear" w:color="auto" w:fill="FFFFFF"/>
        </w:rPr>
        <w:t>附件</w:t>
      </w:r>
      <w:r>
        <w:rPr>
          <w:rFonts w:hint="eastAsia" w:ascii="黑体" w:hAnsi="黑体" w:eastAsia="黑体"/>
          <w:kern w:val="0"/>
          <w:sz w:val="32"/>
          <w:szCs w:val="32"/>
          <w:shd w:val="clear" w:color="auto" w:fill="FFFFFF"/>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jc w:val="center"/>
        <w:textAlignment w:val="auto"/>
        <w:rPr>
          <w:rFonts w:hint="eastAsia" w:ascii="方正小标宋简体" w:hAnsi="方正小标宋简体" w:eastAsia="方正小标宋简体" w:cs="方正小标宋简体"/>
          <w:b w:val="0"/>
          <w:bCs/>
          <w:i w:val="0"/>
          <w:caps w:val="0"/>
          <w:color w:val="auto"/>
          <w:spacing w:val="0"/>
          <w:sz w:val="40"/>
          <w:szCs w:val="40"/>
          <w:shd w:val="clear" w:color="auto" w:fill="FFFFFF"/>
        </w:rPr>
      </w:pPr>
      <w:bookmarkStart w:id="0" w:name="_GoBack"/>
      <w:r>
        <w:rPr>
          <w:rFonts w:hint="eastAsia" w:ascii="方正小标宋简体" w:hAnsi="方正小标宋简体" w:eastAsia="方正小标宋简体" w:cs="方正小标宋简体"/>
          <w:b w:val="0"/>
          <w:bCs/>
          <w:i w:val="0"/>
          <w:caps w:val="0"/>
          <w:color w:val="auto"/>
          <w:spacing w:val="0"/>
          <w:sz w:val="40"/>
          <w:szCs w:val="40"/>
          <w:shd w:val="clear" w:color="auto" w:fill="FFFFFF"/>
        </w:rPr>
        <w:t>古雷开发区基层公共管理和社会服务岗位量化考核表</w:t>
      </w:r>
      <w:bookmarkEnd w:id="0"/>
    </w:p>
    <w:tbl>
      <w:tblPr>
        <w:tblStyle w:val="5"/>
        <w:tblW w:w="988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200"/>
        <w:gridCol w:w="3930"/>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pPr>
            <w:r>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t>评分项目</w:t>
            </w:r>
          </w:p>
        </w:tc>
        <w:tc>
          <w:tcPr>
            <w:tcW w:w="12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pPr>
            <w:r>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t>评分细项</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pPr>
            <w:r>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t>评分指标</w:t>
            </w:r>
          </w:p>
        </w:tc>
        <w:tc>
          <w:tcPr>
            <w:tcW w:w="35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pPr>
            <w:r>
              <w:rPr>
                <w:rFonts w:hint="eastAsia" w:ascii="黑体" w:hAnsi="黑体" w:eastAsia="黑体" w:cs="黑体"/>
                <w:b/>
                <w:bCs/>
                <w:i w:val="0"/>
                <w:caps w:val="0"/>
                <w:color w:val="333333"/>
                <w:spacing w:val="0"/>
                <w:kern w:val="0"/>
                <w:sz w:val="24"/>
                <w:szCs w:val="24"/>
                <w:shd w:val="clear" w:color="auto" w:fill="FFFFFF"/>
                <w:vertAlign w:val="baseline"/>
                <w:lang w:val="en-US" w:eastAsia="zh-CN" w:bidi="ar-SA"/>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3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个人基本情况表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（45分）</w:t>
            </w:r>
          </w:p>
        </w:tc>
        <w:tc>
          <w:tcPr>
            <w:tcW w:w="120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政治面貌</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（10分）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中国共产党党员（10分）</w:t>
            </w:r>
          </w:p>
        </w:tc>
        <w:tc>
          <w:tcPr>
            <w:tcW w:w="35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根据报名人员提交的党员材料审核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中共预备党员（8分）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党员发展对象（5分）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入党积极分子（3分）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院校类别</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（5分）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全国“双一流”建设高校（5分）</w:t>
            </w:r>
          </w:p>
        </w:tc>
        <w:tc>
          <w:tcPr>
            <w:tcW w:w="35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根据教育部门公布的院校名单审核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福建省“双一流”建设高校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（4分）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学历层次</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（15分）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研究生学历（15分）</w:t>
            </w:r>
          </w:p>
        </w:tc>
        <w:tc>
          <w:tcPr>
            <w:tcW w:w="35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根据报名人员提供的毕业证书审核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本科学历（12分）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专科学历（10分）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困难状况</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（5分）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困难毕业生（原建档立卡贫困家庭毕业生、城乡低保家庭毕业生、特困人员</w:t>
            </w:r>
            <w:r>
              <w:rPr>
                <w:rFonts w:hint="eastAsia" w:ascii="仿宋_GB2312" w:hAnsi="仿宋_GB2312" w:eastAsia="仿宋_GB2312" w:cs="仿宋_GB2312"/>
                <w:kern w:val="0"/>
                <w:sz w:val="24"/>
                <w:szCs w:val="24"/>
                <w:lang w:val="en-US" w:eastAsia="zh-CN" w:bidi="ar-SA"/>
              </w:rPr>
              <w:t>毕业生</w:t>
            </w: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）（5分）</w:t>
            </w:r>
          </w:p>
        </w:tc>
        <w:tc>
          <w:tcPr>
            <w:tcW w:w="35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由当地人社就业部门人工审核佐证材料后评分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见习经历（10）</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与所报名服务单位同县区内见习满1年（10分）</w:t>
            </w:r>
          </w:p>
        </w:tc>
        <w:tc>
          <w:tcPr>
            <w:tcW w:w="35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由当地人社就业部门人工审核佐证材料后评分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在校表现情况</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（25分）</w:t>
            </w:r>
          </w:p>
        </w:tc>
        <w:tc>
          <w:tcPr>
            <w:tcW w:w="120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获得荣誉（奖学金、奖项）情况</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获得省级及以上荣誉（奖学金、奖项）；青年马克思主义培养工程结业学员（12分）</w:t>
            </w:r>
          </w:p>
        </w:tc>
        <w:tc>
          <w:tcPr>
            <w:tcW w:w="35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荣誉(奖学金、奖项)包括：1.在校获省级及以上、市级、校级优秀学生干部、优秀学生、优秀团干、三好学生、优秀毕业生荣誉称号。2.奖学金(不包括捐助类奖学金、助学金，国家励志奖学金等校级以上家庭经济困难类奖学金按照校级奖学金评分);获得家庭经济困难类奖学金报名人员已享受困难状况加分，不再重复加分。3.奖项包括职业规划大赛、创新创业大赛三等奖项及以上。</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报名人员提供纸质材料原件及复印件，各地人社部门复核评分。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获得市级荣誉（奖学金、奖项）（8分）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获得校级荣誉（奖学金、奖项，含校级以上家庭经济困难学生奖学金）（5分）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岗位匹配情况</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（30分）</w:t>
            </w:r>
          </w:p>
        </w:tc>
        <w:tc>
          <w:tcPr>
            <w:tcW w:w="120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生源地（入学前户口所在地）</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与所报名服务单位同乡镇（20分）</w:t>
            </w:r>
          </w:p>
        </w:tc>
        <w:tc>
          <w:tcPr>
            <w:tcW w:w="35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根据报名人员提供的户口本原件复印件审核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与所报名服务单位同县（区）（10分）</w:t>
            </w:r>
          </w:p>
        </w:tc>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pPr>
          </w:p>
        </w:tc>
      </w:tr>
    </w:tbl>
    <w:p>
      <w:pPr>
        <w:jc w:val="left"/>
      </w:pPr>
      <w:r>
        <w:rPr>
          <w:rFonts w:hint="eastAsia" w:ascii="仿宋_GB2312" w:hAnsi="仿宋_GB2312" w:eastAsia="仿宋_GB2312" w:cs="仿宋_GB2312"/>
          <w:i w:val="0"/>
          <w:caps w:val="0"/>
          <w:color w:val="333333"/>
          <w:spacing w:val="0"/>
          <w:kern w:val="0"/>
          <w:sz w:val="24"/>
          <w:szCs w:val="24"/>
          <w:shd w:val="clear" w:color="auto" w:fill="FFFFFF"/>
          <w:vertAlign w:val="baseline"/>
          <w:lang w:val="en-US" w:eastAsia="zh-CN" w:bidi="ar-SA"/>
        </w:rPr>
        <w:t>备注：量化考核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06" w:h="16838"/>
      <w:pgMar w:top="567" w:right="964" w:bottom="850" w:left="964" w:header="851" w:footer="1587" w:gutter="0"/>
      <w:pgBorders>
        <w:top w:val="none" w:sz="0" w:space="0"/>
        <w:left w:val="none" w:sz="0" w:space="0"/>
        <w:bottom w:val="none" w:sz="0" w:space="0"/>
        <w:right w:val="none" w:sz="0" w:space="0"/>
      </w:pgBorders>
      <w:pgNumType w:fmt="decimalFullWidt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NjMxYTBiMzYyZmY5YjFjNmE0MDVkM2NkZDk2ODcifQ=="/>
  </w:docVars>
  <w:rsids>
    <w:rsidRoot w:val="49F54CF4"/>
    <w:rsid w:val="49F5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2024-03-27T04:51:00Z</dcterms:created>
  <dc:creator>Administrator</dc:creator>
  <cp:lastModifiedBy>Administrator</cp:lastModifiedBy>
  <dcterms:modified xsi:type="dcterms:W3CDTF">2024-03-27T04:52:06Z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F4B2FBBD3C4047CFB18AF04F1E3CE030_11</vt:lpwstr>
  </property>
</Properties>
</file>