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shd w:val="clear" w:fill="FFFFFF"/>
          <w:lang w:val="en-US" w:eastAsia="zh-CN"/>
        </w:rPr>
        <w:t>栾川县2024年公益性岗位招聘计划表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40"/>
        <w:gridCol w:w="152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15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3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县政协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县先进制造开发区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政法委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栾川县检察院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栾川县人民法院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团县委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县总工会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住建局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财政局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教体局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审计局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医保局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信访局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民政局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城市管理局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县乡村振兴局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国资委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市场监管局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机关事务服务中心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文广旅局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县人民医院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栾川县人力资源和公共就业服务中心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耕莘街道办事处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白土镇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庙子镇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潭头镇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合峪镇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重渡沟管委会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叫河镇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栾川乡政府</w:t>
            </w: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U0MGUwMjc3NGJlMmE4ODQxMmU2YzIxMGY5MzgifQ=="/>
  </w:docVars>
  <w:rsids>
    <w:rsidRoot w:val="41FA44EF"/>
    <w:rsid w:val="41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2024-03-04T06:42:00Z</dcterms:created>
  <dc:creator>陌生风景</dc:creator>
  <cp:lastModifiedBy>陌生风景</cp:lastModifiedBy>
  <dcterms:modified xsi:type="dcterms:W3CDTF">2024-03-04T06:54:47Z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D74F3ECFDCAA4011912C43F3BB7EA9D1_11</vt:lpwstr>
  </property>
</Properties>
</file>