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rPr>
          <w:rFonts w:hint="eastAsia" w:eastAsia="方正仿宋简体"/>
          <w:b/>
          <w:bCs/>
          <w:kern w:val="2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/>
          <w:bCs/>
          <w:kern w:val="2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kern w:val="2"/>
          <w:sz w:val="32"/>
          <w:szCs w:val="32"/>
        </w:rPr>
        <w:t>1</w:t>
      </w:r>
    </w:p>
    <w:tbl>
      <w:tblPr>
        <w:tblStyle w:val="3"/>
        <w:tblpPr w:leftFromText="180" w:rightFromText="180" w:vertAnchor="text" w:horzAnchor="page" w:tblpX="1929" w:tblpY="891"/>
        <w:tblOverlap w:val="never"/>
        <w:tblW w:w="1279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080"/>
        <w:gridCol w:w="1140"/>
        <w:gridCol w:w="600"/>
        <w:gridCol w:w="615"/>
        <w:gridCol w:w="735"/>
        <w:gridCol w:w="675"/>
        <w:gridCol w:w="1200"/>
        <w:gridCol w:w="915"/>
        <w:gridCol w:w="840"/>
        <w:gridCol w:w="840"/>
        <w:gridCol w:w="1020"/>
        <w:gridCol w:w="1470"/>
        <w:gridCol w:w="1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2799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简体"/>
                <w:b/>
                <w:color w:val="auto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四川威远经济开发区管理委员会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 w:bidi="ar"/>
              </w:rPr>
              <w:t>面向全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 w:bidi="ar"/>
              </w:rPr>
              <w:t>省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bidi="ar"/>
              </w:rPr>
              <w:t>公开考调事业单位工作人员岗位一览表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序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号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考调单位</w:t>
            </w:r>
          </w:p>
          <w:p>
            <w:pPr>
              <w:spacing w:line="300" w:lineRule="exact"/>
              <w:jc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主管部门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  <w:t>考调单位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经费形式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考调岗位类别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考调名额</w:t>
            </w:r>
          </w:p>
        </w:tc>
        <w:tc>
          <w:tcPr>
            <w:tcW w:w="62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报 考 条 件                                                                （请考生务必仔细阅读完本考调公告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和说明后再填报）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学位   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auto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四川威远经济开发区管理委员会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威远经开区发展服务中心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Hans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全额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周岁及以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全额拨款事业单位人员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四川威远经济开发区管理委员会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威远经开区发展服务中心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全额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Hans"/>
              </w:rPr>
              <w:t>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技术岗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技术岗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本科及以上学历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会计学、审计学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方正仿宋简体" w:cs="Times New Roman"/>
                <w:b/>
                <w:bCs w:val="0"/>
                <w:color w:val="auto"/>
                <w:sz w:val="20"/>
                <w:szCs w:val="20"/>
                <w:lang w:val="en-US" w:eastAsia="zh-CN"/>
              </w:rPr>
              <w:t>周岁及以</w:t>
            </w:r>
            <w:r>
              <w:rPr>
                <w:rFonts w:hint="eastAsia" w:ascii="方正仿宋简体" w:hAnsi="方正仿宋简体" w:eastAsia="方正仿宋简体" w:cs="方正仿宋简体"/>
                <w:b/>
                <w:bCs w:val="0"/>
                <w:color w:val="auto"/>
                <w:sz w:val="20"/>
                <w:szCs w:val="20"/>
                <w:lang w:val="en-US" w:eastAsia="zh-CN"/>
              </w:rPr>
              <w:t>下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eastAsia="方正仿宋简体" w:cs="Times New Roman"/>
                <w:b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全额拨款事业单位人员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0"/>
                <w:szCs w:val="20"/>
                <w:lang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mYWZlNTAxMzYyZWE0YTk2NmVkMGRmNmVlNWRjM2QifQ=="/>
  </w:docVars>
  <w:rsids>
    <w:rsidRoot w:val="7B8A5784"/>
    <w:rsid w:val="064B294F"/>
    <w:rsid w:val="1505560C"/>
    <w:rsid w:val="1E410D79"/>
    <w:rsid w:val="22964CA1"/>
    <w:rsid w:val="22BB5D89"/>
    <w:rsid w:val="253422C5"/>
    <w:rsid w:val="25B85C40"/>
    <w:rsid w:val="2C7A0E2C"/>
    <w:rsid w:val="40D703CD"/>
    <w:rsid w:val="4C511C97"/>
    <w:rsid w:val="4D11077C"/>
    <w:rsid w:val="511F719B"/>
    <w:rsid w:val="57C05289"/>
    <w:rsid w:val="6B227C14"/>
    <w:rsid w:val="723F2501"/>
    <w:rsid w:val="73972DDB"/>
    <w:rsid w:val="7B8A5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4"/>
    <w:pPr>
      <w:ind w:firstLine="200" w:firstLineChars="200"/>
    </w:pPr>
    <w:rPr>
      <w:szCs w:val="24"/>
    </w:rPr>
  </w:style>
  <w:style w:type="paragraph" w:customStyle="1" w:styleId="5">
    <w:name w:val="p0"/>
    <w:basedOn w:val="1"/>
    <w:autoRedefine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2024-01-09T08:29:00Z</dcterms:created>
  <dc:creator>威远经开区管委会收发文</dc:creator>
  <cp:lastModifiedBy>威远经开区管委会收发文</cp:lastModifiedBy>
  <dcterms:modified xsi:type="dcterms:W3CDTF">2024-01-09T08:31:15Z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00ABD2BAAC9649C297E31E2337158CD4_11</vt:lpwstr>
  </property>
</Properties>
</file>