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山西省</w:t>
      </w:r>
      <w:r>
        <w:rPr>
          <w:rFonts w:hint="default" w:ascii="Times New Roman" w:hAnsi="Times New Roman" w:eastAsia="方正小标宋_GBK" w:cs="Times New Roman"/>
          <w:color w:val="000000"/>
          <w:sz w:val="44"/>
          <w:szCs w:val="44"/>
          <w:lang w:eastAsia="zh-CN"/>
        </w:rPr>
        <w:t>202</w:t>
      </w:r>
      <w:r>
        <w:rPr>
          <w:rFonts w:hint="eastAsia" w:ascii="Times New Roman" w:hAnsi="Times New Roman" w:eastAsia="方正小标宋_GBK" w:cs="Times New Roman"/>
          <w:color w:val="000000"/>
          <w:sz w:val="44"/>
          <w:szCs w:val="44"/>
          <w:lang w:val="en-US" w:eastAsia="zh-CN"/>
        </w:rPr>
        <w:t>4</w:t>
      </w:r>
      <w:r>
        <w:rPr>
          <w:rFonts w:hint="default" w:ascii="Times New Roman" w:hAnsi="Times New Roman" w:eastAsia="方正小标宋_GBK" w:cs="Times New Roman"/>
          <w:color w:val="000000"/>
          <w:sz w:val="44"/>
          <w:szCs w:val="44"/>
        </w:rPr>
        <w:t>年度考试录用公务员</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公共科目考试大纲</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是干部队伍的重要组成部分，是社会主义事业的中坚力量，是人民的公仆。公务员录用是各级机关选拔一级主任科员以下及其他相当职级层次公务员的主要方式。公务员录用坚持以习近平新时代中国特色社会主义思想为指导，以建设高素质专业化队伍为目标，坚持公开、平等、竞争、择优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山西省</w:t>
      </w:r>
      <w:r>
        <w:rPr>
          <w:rFonts w:hint="default" w:ascii="Times New Roman" w:hAnsi="Times New Roman" w:eastAsia="仿宋_GB2312" w:cs="Times New Roman"/>
          <w:sz w:val="32"/>
          <w:szCs w:val="32"/>
        </w:rPr>
        <w:t>2024年度考试录用公务员公共科目笔试分为行政职业能力测验和申论两科，全部采用闭卷考试的方式。其中，行政职业能力测验为客观性试题，考试时限120分钟，满分100分。申论为主观性试题，</w:t>
      </w:r>
      <w:r>
        <w:rPr>
          <w:rFonts w:hint="eastAsia" w:ascii="Times New Roman" w:hAnsi="Times New Roman" w:eastAsia="仿宋_GB2312" w:cs="Times New Roman"/>
          <w:b w:val="0"/>
          <w:bCs w:val="0"/>
          <w:sz w:val="32"/>
          <w:szCs w:val="32"/>
        </w:rPr>
        <w:t>按照</w:t>
      </w:r>
      <w:r>
        <w:rPr>
          <w:rFonts w:hint="eastAsia" w:ascii="Times New Roman" w:hAnsi="Times New Roman" w:eastAsia="仿宋_GB2312" w:cs="Times New Roman"/>
          <w:b w:val="0"/>
          <w:bCs w:val="0"/>
          <w:sz w:val="32"/>
          <w:szCs w:val="32"/>
          <w:lang w:eastAsia="zh-CN"/>
        </w:rPr>
        <w:t>省市级和县</w:t>
      </w:r>
      <w:r>
        <w:rPr>
          <w:rFonts w:hint="eastAsia" w:ascii="Times New Roman" w:hAnsi="Times New Roman" w:eastAsia="仿宋_GB2312" w:cs="Times New Roman"/>
          <w:b w:val="0"/>
          <w:bCs w:val="0"/>
          <w:sz w:val="32"/>
          <w:szCs w:val="32"/>
        </w:rPr>
        <w:t>乡</w:t>
      </w:r>
      <w:r>
        <w:rPr>
          <w:rFonts w:hint="eastAsia" w:ascii="Times New Roman" w:hAnsi="Times New Roman" w:eastAsia="仿宋_GB2312" w:cs="Times New Roman"/>
          <w:b w:val="0"/>
          <w:bCs w:val="0"/>
          <w:sz w:val="32"/>
          <w:szCs w:val="32"/>
          <w:lang w:eastAsia="zh-CN"/>
        </w:rPr>
        <w:t>级两类</w:t>
      </w:r>
      <w:r>
        <w:rPr>
          <w:rFonts w:hint="eastAsia" w:ascii="Times New Roman" w:hAnsi="Times New Roman" w:eastAsia="仿宋_GB2312" w:cs="Times New Roman"/>
          <w:b w:val="0"/>
          <w:bCs w:val="0"/>
          <w:sz w:val="32"/>
          <w:szCs w:val="32"/>
        </w:rPr>
        <w:t>职位，分别命制试题</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考试时限1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0分钟，满分100分。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一、行政职业能力测验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楷体" w:cs="Times New Roman"/>
          <w:b/>
          <w:bCs/>
          <w:sz w:val="32"/>
          <w:szCs w:val="32"/>
        </w:rPr>
        <w:t>（一）常识判断。</w:t>
      </w:r>
      <w:r>
        <w:rPr>
          <w:rFonts w:hint="default" w:ascii="Times New Roman" w:hAnsi="Times New Roman" w:eastAsia="仿宋" w:cs="Times New Roman"/>
          <w:sz w:val="32"/>
          <w:szCs w:val="32"/>
        </w:rPr>
        <w:t>主要测查报考者在政治、经济、文化、科技等方面应知应会的基本知识以及运用这些知识进行分析判断的基本能力。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①坚持把实现人民对美好生活的向往作为现代化建设的出发点和落脚点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②共同富裕是社会主义的本质要求，是中国式现代化的重要特征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③在物质文明方面超越西方发达国家，是中国式现代化的主要目标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④遵循世界各国现代化的共同模式，是中国式现代化道路的基本经验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⑤中国式现代化新道路，创造了人类文明新形态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A．2项                                    B．3项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C．4项                                    D．5项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例题2：发展必须是科学发展，必须坚定不移贯彻创新、协调、绿色、开放、共享的发展理念。下列与之有关的说法，正确的有几项？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①创新发展注重的是解决发展动力问题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②协调发展注重的是解决社会公平正义问题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③绿色发展注重的是解决人与自然和谐共生问题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④开放发展注重的是解决发展内外联动问题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⑤共享发展注重的是解决发展不平衡问题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A．1项                                    B．2项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C．3项                                    D．4项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例题3：下列毛泽东诗词与创作背景对应正确的是：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A．宜将剩勇追穷寇，不可沽名学霸王——1949年解放南京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B．三十八年过去，弹指一挥间。可上九天揽月，可下五洋捉鳖，谈笑凯歌还——1941年延安整风运动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C．军叫工农革命，旗号镰刀斧头。匡庐一带不停留，要向潇湘直进——1948年淮海战役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D．金沙水拍云崖暖，大渡桥横铁索寒——1930年第一次反“围剿”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 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例题4：白居易有诗云：“绿蚁新醅酒，红泥小火炉。晚来天欲雪，能饮一杯无？”下列与该诗相关的说法正确的是：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A.</w:t>
      </w:r>
      <w:r>
        <w:rPr>
          <w:rFonts w:hint="default" w:ascii="Times New Roman" w:hAnsi="Times New Roman" w:eastAsia="仿宋_GB2312" w:cs="Times New Roman"/>
          <w:b w:val="0"/>
          <w:bCs w:val="0"/>
          <w:sz w:val="32"/>
          <w:szCs w:val="32"/>
        </w:rPr>
        <w:t>“醅酒”的过程利用了微生物的作用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B．“绿蚁”是因为酒中添加了可食用调色剂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C．炉火燃烧的过程是内能转化成化学能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D．从雪到水的转化过程会释放出热量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醅酒过程要发酵，发酵需要利用到微生物，A选项表述正确。“绿蚁”是酒在发酵后未经过滤，由酒曲、粮食等物质形成的，B选项表述错误。炉火燃烧过程中化学能转化成内能，C选项表述错误。雪到水的转化过程会吸收热量，D选项表述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例题5：关于常见气体的工业制备方法，下列说法错误的是：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A．木炭和二氧化碳可以作为制备一氧化碳的原料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B．电解水时制备得到的氢气体积比氧气体积更大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C．通过低温液化的方法可以分离出沼气中的甲烷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D．高温煅烧石灰石制备二氧化碳属于复分解反应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碳（木炭）和二氧化碳在高温下发生反应生成一氧化碳，故A正确。在充满电解液的电解槽中通入直流电，水分子在电极上发生电化学反应生成氧气和氢气，得到的氢气是氧气体积的两倍，故B正确。低温分离是使气体混合物通过压缩、冷却、膨胀等操作在低温下液化将其各个成分分离的过程，利用了各个成分沸点的不同，故C正确。复分解反应是由两种化合物互相交换成分的反应，高温煅烧石灰石制备二氧化碳属于分解反应，故D错误。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（二）言语理解与表达。</w:t>
      </w:r>
      <w:r>
        <w:rPr>
          <w:rFonts w:hint="default" w:ascii="Times New Roman" w:hAnsi="Times New Roman" w:eastAsia="仿宋_GB2312" w:cs="Times New Roman"/>
          <w:b w:val="0"/>
          <w:bCs w:val="0"/>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A．地域性   国际性             B．实践性   理论性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C．先进性   创新性             D．特殊性   普遍性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A．蔓延   守护   犹豫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B．扩散   占据   退缩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C．泛滥   掌握   含糊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D．滋生   控制   迟疑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万物各得其和以生，各得其养以成。”这方面有很多鲜活生动的事例。始建于战国时期的都江堰，距今已有2000多年历史，就是根据岷江的洪涝规律和成都平原悬江的地势特点，______建设的大型生态水利工程，不仅造福当时，而且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A．物尽其用   历久弥新     B．因地制宜   经久不衰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C．顺势而为   利在千秋     D．因势利导   泽被后世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以都江堰为例，说明了建设应顺应当地的地形特点并加以利用。第一空，根据前句可知都江堰主要是依据洪涝规律和地势特点建成的，“因地制宜”和“因势利导”符合语境；“物尽其用”指充分发挥各种东西的功用，“顺势而为”指顺应时势而行动，不符合语境。第二空，根据前句可知，横线处要表达对后人的影响也很大，“泽被后世”和“利在千秋”符合语境；“历久弥新”指经历很长时间反而更加鲜活、更加有活力，“经久不衰”指持续很长时间也不衰减，不符合语境。综上，应填入“因势利导”“泽被后世”。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文段最后一句话中的“这”指的是：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A．自然共同体意识的树立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B．对自然共同体的义务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C．热爱自然的感情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D．重建人与自然关系的愿望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这段文字意在说明：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A．我们悠久的历史是各民族共同书写的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B．我们辽阔的疆域是各民族共同开拓的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C．我们灿烂的文化是各民族共同创造的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D．我们伟大的精神是各民族共同培育的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例题6：戴口罩等遮挡条件下的人脸识别其实是一项“老”技术，此前研究人员在解决军事刑侦和视频监控问题时就曾长期研究过该技术，并发展出诸多成熟应用。因此，</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rPr>
        <w:t>。但是以往的技术基础并没有完全打消人们对戴口罩人脸识别“先天不足”的顾虑。相较于以往，口罩遮挡住面部，使得人脸识别系统收集到的面部信息大量减少。不过研究表明，人脸识别的关键信息集中于眉毛和眼睛，只要模型训练得当，戴口罩人脸识别的准确率并不会大幅下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A．提高识别精度才是这一技术的难点所在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B．该技术的稳定性和准确率是有一定基础的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C．人脸识别技术已经被广泛应用于各个领域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D．人脸识别并不需要对全脸进行整体识别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这段文字谈的是“戴口罩人脸识别”问题。首句说“戴口罩等遮挡条件下的人脸识别其实是一项老技术，此前……”。横线后面说“但是以往的技术基础并没有完全打消人们对……的顾虑”，并以“相较于以往”具体说明原因，最后一句则以“不过研究表明”介绍最新研究成果，给出乐观的结论。因此，横线处最适合填入“该技术的稳定性和准确率是有一定基础的”。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例题7：根据所给材料，回答（1）～（5）题。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（1）下面这段文字，最适合填入文中的哪个位置？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A．①                                      B．②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C．③                                      D．④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（答案：C。这段文字主要是说“展现了清代前期地方官员对于海洋的治理”。原文中与之最密切相关的，是“海洋生产与管理类别……”一段，由此可知，应该放在③处。因此，正确答案为C。）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（2）第二段中提到东南沿海一带贝丘遗址中的太阳崇拜石刻，意在证明：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A．海洋石刻艺术历史悠久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B．当地文化起源于原始崇拜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C．沿海地区很早就频繁利用海洋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D．海洋石刻最初以太阳崇拜为内容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（答案：A。根据文段“早在新石器时期，滨海地带生活的早期人类就已经开始利用石头作为表述工具”，说明贝丘遗址中的太阳崇拜石刻这一例证是为了证明“海洋石刻艺术历史悠久”。因此，正确答案为A。）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（3）这篇文章中提到的海洋石刻遗产与关键词对应错误的是：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A．悬钟所城——卫所、摩崖石刻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B．泉州九日山——祈风仪式、唐代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C．天后宫——海神、海洋宗教文化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D．坞界碑——海洋生产、明清时期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泉州九日山”出现在以下语句中：“典型者如泉州九日山上保存的10通宋代海交祈风石刻，是记载宋代泉州当地的海洋航行仪式习俗的珍贵石刻资料，也是历史上海上丝绸之路的重要记录。”可知“泉州九日山——祈风仪式、唐代”的对应中，“唐代”是错误的，应该是宋代。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（4）这篇文章接下来最可能谈论：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A．古代海洋石刻的常用工具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B．海洋石刻作为文化记忆的事例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C．海洋石刻遗产的保护举措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D．与其他国家海洋石刻遗产的比较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（5）最适合做这篇文章标题的是：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A．古代海洋石刻：海洋文明兴衰的见证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B．海洋石刻遗产：海洋文明的记忆镌刻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C．沿海地区的记忆坐标：海洋石刻文书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D．复原海洋记忆的钥匙：海洋石刻发掘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（答案：B。“海洋石刻遗产”是全文核心，通过海洋石刻遗产探索海洋文明，因此，最适合做这篇文章标题的是“海洋石刻遗产：海洋文明的记忆镌刻”。因此，正确答案为B。）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（三）数量关系。</w:t>
      </w:r>
      <w:r>
        <w:rPr>
          <w:rFonts w:hint="default" w:ascii="Times New Roman" w:hAnsi="Times New Roman" w:eastAsia="仿宋_GB2312" w:cs="Times New Roman"/>
          <w:b w:val="0"/>
          <w:bCs w:val="0"/>
          <w:sz w:val="32"/>
          <w:szCs w:val="32"/>
        </w:rPr>
        <w:t>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   2   4   8   16  （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A．16         B．24          C．32          D．36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（答案：C。原数列是一个等比数列，后一项是前一项的2倍，故正确答案为C。）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例题1：某单位的会议室有5排共40个座位，每排座位数相同。小张和小李随机入座，则他们坐在同一排的概率：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A．不高于15%                      B．高于15%但低于20%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C．正好为20%                      D．高于20%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A．丙&gt;丁&gt;戊                          B．丙&gt;戊&gt;丁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C．丁&gt;丙&gt;戊                          D．戊&gt;丙&gt;丁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（答案：D。假设丙得分为x，则甲+乙=2x+4，（甲+乙）/2=（丙+丁+戊）/3+3，则丁+戊=2x-3；戊-丁=10，则戊=x+3.5，丁=x-6.5。因此，正确答案为D。）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高校某专业70多名毕业生中，有96%在毕业后去西部省区支援国家建设。其中去偏远中小学支教的毕业生占该专业毕业生总数的20%，比任职大学生村官的毕业生少2人，比在西部地区参军入伍的毕业生多1人，其余的毕业生选择去国有企业西部边远岗位工作。问去国有企业西部边远岗位工作的毕业生有多少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A．23                                     B．26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C．29                                     D．32</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（答案：B。总人数是25的倍数且在70到80之间，只有75一个可能性，其中72人去西部地区。支教、村官和入伍分别有15、17和14人，总计有46人，剩余26人在国企工作。因此，正确答案为B。）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（四）判断推理。</w:t>
      </w:r>
      <w:r>
        <w:rPr>
          <w:rFonts w:hint="default" w:ascii="Times New Roman" w:hAnsi="Times New Roman" w:eastAsia="仿宋_GB2312" w:cs="Times New Roman"/>
          <w:b w:val="0"/>
          <w:bCs w:val="0"/>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例题1：把下面的六个图形分为两类，使每一类图形都有各自的共同特征或规律，分类正确的一项是：</w:t>
      </w:r>
      <w:r>
        <w:rPr>
          <w:rFonts w:hint="eastAsia" w:ascii="Times New Roman" w:hAnsi="Times New Roman" w:eastAsia="仿宋_GB2312" w:cs="Times New Roman"/>
          <w:b w:val="0"/>
          <w:bCs w:val="0"/>
          <w:sz w:val="32"/>
          <w:szCs w:val="32"/>
          <w:lang w:eastAsia="zh-CN"/>
        </w:rPr>
        <w:drawing>
          <wp:anchor distT="0" distB="0" distL="114300" distR="114300" simplePos="0" relativeHeight="251659264" behindDoc="0" locked="0" layoutInCell="1" allowOverlap="1">
            <wp:simplePos x="0" y="0"/>
            <wp:positionH relativeFrom="column">
              <wp:posOffset>-62230</wp:posOffset>
            </wp:positionH>
            <wp:positionV relativeFrom="page">
              <wp:posOffset>2609850</wp:posOffset>
            </wp:positionV>
            <wp:extent cx="5269865" cy="2091690"/>
            <wp:effectExtent l="0" t="0" r="3175" b="11430"/>
            <wp:wrapTopAndBottom/>
            <wp:docPr id="9" name="图片 9" descr="2e705d46c6ff189bec23ef9f3057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e705d46c6ff189bec23ef9f30577d2"/>
                    <pic:cNvPicPr>
                      <a:picLocks noChangeAspect="1"/>
                    </pic:cNvPicPr>
                  </pic:nvPicPr>
                  <pic:blipFill>
                    <a:blip r:embed="rId5"/>
                    <a:stretch>
                      <a:fillRect/>
                    </a:stretch>
                  </pic:blipFill>
                  <pic:spPr>
                    <a:xfrm>
                      <a:off x="0" y="0"/>
                      <a:ext cx="5269865" cy="2091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A．①②⑥，③④⑤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B．①③④，②⑤⑥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C．①④⑤，②③⑥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D．①④⑥，②③⑤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（答案：A。题干中每个图形中都有多个封闭图形和线段，考虑二者之间的位置关系。因此，正确答案为A。）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例题2：从所给的四个选项中，选择最合适的一个填入问号处，使之呈现一定的规律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1312" behindDoc="1" locked="0" layoutInCell="1" allowOverlap="1">
            <wp:simplePos x="0" y="0"/>
            <wp:positionH relativeFrom="column">
              <wp:posOffset>26035</wp:posOffset>
            </wp:positionH>
            <wp:positionV relativeFrom="page">
              <wp:posOffset>7152640</wp:posOffset>
            </wp:positionV>
            <wp:extent cx="4983480" cy="1897380"/>
            <wp:effectExtent l="0" t="0" r="0" b="7620"/>
            <wp:wrapTight wrapText="bothSides">
              <wp:wrapPolygon>
                <wp:start x="0" y="0"/>
                <wp:lineTo x="0" y="21513"/>
                <wp:lineTo x="21534" y="21513"/>
                <wp:lineTo x="21534" y="0"/>
                <wp:lineTo x="0" y="0"/>
              </wp:wrapPolygon>
            </wp:wrapTight>
            <wp:docPr id="10" name="图片 10" descr="17028668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02866803985"/>
                    <pic:cNvPicPr>
                      <a:picLocks noChangeAspect="1"/>
                    </pic:cNvPicPr>
                  </pic:nvPicPr>
                  <pic:blipFill>
                    <a:blip r:embed="rId6"/>
                    <a:stretch>
                      <a:fillRect/>
                    </a:stretch>
                  </pic:blipFill>
                  <pic:spPr>
                    <a:xfrm>
                      <a:off x="0" y="0"/>
                      <a:ext cx="4983480" cy="18973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例题3：下图是给定的空心立体图形，将其从任一面剖开，以下哪项可能是该立体图形的截面？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2336" behindDoc="0" locked="0" layoutInCell="1" allowOverlap="1">
            <wp:simplePos x="0" y="0"/>
            <wp:positionH relativeFrom="column">
              <wp:posOffset>241300</wp:posOffset>
            </wp:positionH>
            <wp:positionV relativeFrom="paragraph">
              <wp:posOffset>396240</wp:posOffset>
            </wp:positionV>
            <wp:extent cx="5097780" cy="2682240"/>
            <wp:effectExtent l="0" t="0" r="7620" b="0"/>
            <wp:wrapTopAndBottom/>
            <wp:docPr id="11" name="图片 11" descr="170286686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02866867850"/>
                    <pic:cNvPicPr>
                      <a:picLocks noChangeAspect="1"/>
                    </pic:cNvPicPr>
                  </pic:nvPicPr>
                  <pic:blipFill>
                    <a:blip r:embed="rId7"/>
                    <a:stretch>
                      <a:fillRect/>
                    </a:stretch>
                  </pic:blipFill>
                  <pic:spPr>
                    <a:xfrm>
                      <a:off x="0" y="0"/>
                      <a:ext cx="5097780" cy="2682240"/>
                    </a:xfrm>
                    <a:prstGeom prst="rect">
                      <a:avLst/>
                    </a:prstGeom>
                  </pic:spPr>
                </pic:pic>
              </a:graphicData>
            </a:graphic>
          </wp:anchor>
        </w:drawing>
      </w:r>
      <w:r>
        <w:rPr>
          <w:rFonts w:hint="default" w:ascii="Times New Roman" w:hAnsi="Times New Roman" w:eastAsia="仿宋_GB2312" w:cs="Times New Roman"/>
          <w:b w:val="0"/>
          <w:bCs w:val="0"/>
          <w:sz w:val="32"/>
          <w:szCs w:val="32"/>
        </w:rPr>
        <w:t> （答案：B。）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根据上述定义，下列说法正确的是：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A．对某市幼儿园所有儿童进行口腔卫生检查，这属于非全面调查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B．对全国招生规模较大的前30所医学院校进行学生就业情况调查，这属于典型调查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C．对省内1～3年级的全体学生进行体育活动时间的调查，这属于非全面调查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D．对某市中考数学成绩最好的几所学校进行调查，总结相关经验，这属于抽样调查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例题2：物候现象是生物随着气候一年四季的周期性变化而发生的相应季节性变化的现象。影响物候现象的因素主要包括海拔的差异、经度的差异、纬度的差异和时间的差异。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下列诗句反映的物候现象受到海拔差异影响的是：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A．日出江花红胜火，春来江水绿如蓝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B．人间四月芳菲尽，山寺桃花始盛开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C．竹外桃花三两枝，春江水暖鸭先知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D．羌笛何须怨杨柳，春风不度玉门关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的景象，是因为玉门关外受夏季风影响小，暖湿气流很难到达。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例题3：数字农业是指用数字化技术，按人类需要的目标，对农业所涉及的对象和全过程进行数字化和可视化表达、设计、控制、管理等的农业。根据上述定义，下列没有体现数字农业的是：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A．遇到连绵阴雨天，果蔬容易滋生病害，需要及时喷药，采用轻型直升机几个小时就可以完成传统作业方式十多人几天才能完成的工作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B．在大数据平台，点击任一块田地，就可以看到这块田地的土壤酸碱度、肥水条件、环境温度湿度等指标，农民可以根据这些信息进行田地管理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C．某柑橘生产大省建立“柑橘产业大数据中心”，以数据驱动柑橘产业结构性改革和高质量发展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D．通过电子标签等技术，对单个产品赋予身份编码及认证信息，在生产管理、仓储、物流、销售等环节实现信息追溯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（答案：A。选项B体现了运用数字化技术进行农田管理；选项C和D，体现了“对农业所涉及对象”的全过程管理；选项A没有涉及数字化技术。因此，正确答案为A。）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类比推理：</w:t>
      </w:r>
      <w:r>
        <w:rPr>
          <w:rFonts w:hint="default" w:ascii="Times New Roman" w:hAnsi="Times New Roman" w:eastAsia="仿宋_GB2312" w:cs="Times New Roman"/>
          <w:b w:val="0"/>
          <w:bCs w:val="0"/>
          <w:sz w:val="32"/>
          <w:szCs w:val="32"/>
        </w:rPr>
        <w:t>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例题1：设计︰发放︰问卷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A．复制︰修改︰文字           B．预习︰复习︰考试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C．播放︰快进︰磁带      D．制定︰执行︰政策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例题2：自然声源 对于（    ）相当于（    ）对于 煤炭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A．人工声源；植物遗骸       B．燕语莺声；矿石燃料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C．传播介质；社区供暖       D．物体振动；地质危害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例题3：一望无垠∶辽阔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A．人云亦云∶重复               B．耳提面命∶教导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C．方兴未艾∶失败               D．厉兵秣马∶战斗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题干两词为同义关系，一望无垠是指辽阔，看不到边际。A项人云亦云是指没主见。B项耳提面命形容教诲恳切、要求严格，与教导同义。C项方兴未艾是正在发展的意思，与失败是反义。D项厉兵秣马是指准备战斗，并不是战斗。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逻辑判断：</w:t>
      </w:r>
      <w:r>
        <w:rPr>
          <w:rFonts w:hint="default" w:ascii="Times New Roman" w:hAnsi="Times New Roman" w:eastAsia="仿宋_GB2312" w:cs="Times New Roman"/>
          <w:b w:val="0"/>
          <w:bCs w:val="0"/>
          <w:sz w:val="32"/>
          <w:szCs w:val="32"/>
        </w:rPr>
        <w:t>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由此可以推出：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A．一种文明如果没有长期自我封闭，就不会走向衰落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B．一种文明如果同其他文明交流互鉴、取长补短，就能保持旺盛生命活力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C．一种文明如果没有同其他文明交流互鉴，就不能保持旺盛生命活力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D．一种文明如果没有保持旺盛生命活力，它就没有同其他文明取长补短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A．长时间坐着听课会增加身体对脊柱的压力，不利于学生的身体健康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B．即使是站立听课，也有个别学生会来回走动，影响课堂秩序，让他人分心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C．许多性格活泼的学生更喜欢站立听课，专注力更好，而内向的学生则愿意坐着听课，觉得更利于提高注意力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D．站立需要大脑平衡身体、控制轻微肌肉收缩，这些适度的压力会使人的注意力更加集中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某超市从前到后整齐排列着7排货架，放置着文具、零食、调料、日用品、酒、粮油和饮料7类商品，每类商品占据一排。已知：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①酒类排在调料类之前；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②文具类和调料类中间隔着3排；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③粮油类在零食类之后，中间隔着2排；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④日用品类紧挨在文具类前一排或者后一排。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（1）下列各项中，哪一类商品不可能排在第一排？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                               B．粮油类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C．酒类                                   D．日用品类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（2）按照从前到后，下列哪项排列是可能的？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A．文具类、零食类、日用品类、酒类、调料类、粮油类、饮料类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B．零食类、文具类、日用品类、粮油类、饮料类、调料类、酒类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C．日用品类、文具类、零食类、酒类、粮油类、调料类、饮料类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D．日用品类、文具类、酒类、零食类、饮料类、调料类、粮油类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（3）零食类和文具类中间最多可能隔几排？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A．2排                                    B．3排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C．4排                                    D．5排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（4）如果零食类排在第1排，那么下列哪项中的两类商品不可能是相邻的两排？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A．文具类和粮油类               B．零食类和文具类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C．日用品类和酒类               D．零食类和日用品类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（5）如果饮料类排在第1排，则以下哪项是可能的？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A．零食类排在文具类前一排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B．粮油类排在调料类前一排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D．酒类排在文具类前一排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（五）资料分析。</w:t>
      </w:r>
      <w:r>
        <w:rPr>
          <w:rFonts w:hint="default" w:ascii="Times New Roman" w:hAnsi="Times New Roman" w:eastAsia="仿宋_GB2312" w:cs="Times New Roman"/>
          <w:b w:val="0"/>
          <w:bCs w:val="0"/>
          <w:sz w:val="32"/>
          <w:szCs w:val="32"/>
        </w:rPr>
        <w:t>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2020年H省秋粮平均生产成本及同比增速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单位：元/亩（成本）、%（增速）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-8432800</wp:posOffset>
            </wp:positionV>
            <wp:extent cx="5273040" cy="5151120"/>
            <wp:effectExtent l="0" t="0" r="0" b="0"/>
            <wp:wrapTopAndBottom/>
            <wp:docPr id="12" name="图片 12" descr="170286706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02867062577"/>
                    <pic:cNvPicPr>
                      <a:picLocks noChangeAspect="1"/>
                    </pic:cNvPicPr>
                  </pic:nvPicPr>
                  <pic:blipFill>
                    <a:blip r:embed="rId8"/>
                    <a:stretch>
                      <a:fillRect/>
                    </a:stretch>
                  </pic:blipFill>
                  <pic:spPr>
                    <a:xfrm>
                      <a:off x="0" y="0"/>
                      <a:ext cx="5273040" cy="5151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（1）2019年，H省秋粮稻谷的平均生产成本约为多少元/亩？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A．548                                     B．533</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C．439                                     D．450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（2）将2020年H省秋粮机耕、机播、机收、排灌成本按同比增量从高到低的顺序排列，以下正确的是：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A．机耕、机播、机收、排灌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B．机收、排灌、机耕、机播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C．机耕、机播、排灌、机收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D．机收、排灌、机播、机耕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（3）2020年，H省秋粮玉米和稻谷的亩产与上年相比：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A．仅稻谷亩产高于上年水平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B．仅玉米亩产高于上年水平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C．两者亩产均低于上年水平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D．两者亩产均高于上年水平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（4）如种植收益=产值？生产成本，则2020年H省秋粮稻谷平均每亩的种植收益约是玉米的多少倍？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A．0.5                                      B．0.7</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C．1.6                                      D．1.9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（5）2020年，H省农民老王在承包地中种植秋粮玉米，按全省平均生产成本估算，他在种子和农药上需要花费2000元。如亦按全省平均生产成本估算，他需要花费的人工成本在以下哪个范围内？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A．不到2000元                     B．2000～2500元之间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C．2500～3000元之间          D．超过3000元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eastAsia="仿宋_GB2312"/>
          <w:color w:val="E54C5E" w:themeColor="accent6"/>
          <w:sz w:val="32"/>
          <w:szCs w:val="32"/>
          <w:highlight w:val="none"/>
          <w14:textFill>
            <w14:solidFill>
              <w14:schemeClr w14:val="accent6"/>
            </w14:solidFill>
          </w14:textFill>
        </w:rPr>
      </w:pPr>
      <w:r>
        <w:rPr>
          <w:rFonts w:hint="eastAsia" w:ascii="Times New Roman" w:hAnsi="Times New Roman" w:eastAsia="仿宋_GB2312" w:cs="Times New Roman"/>
          <w:b w:val="0"/>
          <w:bCs w:val="0"/>
          <w:sz w:val="32"/>
          <w:szCs w:val="32"/>
        </w:rPr>
        <w:t>申论试卷由注意事项、给定资料和作答要求三部分组成。</w:t>
      </w:r>
      <w:r>
        <w:rPr>
          <w:rFonts w:hint="default" w:ascii="Times New Roman" w:hAnsi="Times New Roman" w:eastAsia="仿宋_GB2312" w:cs="Times New Roman"/>
          <w:b w:val="0"/>
          <w:bCs w:val="0"/>
          <w:sz w:val="32"/>
          <w:szCs w:val="32"/>
        </w:rPr>
        <w:t>主要测查报考者的阅读理解能力、综合分析能力、提出和解决问题能力、</w:t>
      </w:r>
      <w:r>
        <w:rPr>
          <w:rFonts w:hint="eastAsia" w:ascii="Times New Roman" w:hAnsi="Times New Roman" w:eastAsia="仿宋_GB2312" w:cs="Times New Roman"/>
          <w:b w:val="0"/>
          <w:bCs w:val="0"/>
          <w:sz w:val="32"/>
          <w:szCs w:val="32"/>
        </w:rPr>
        <w:t>贯彻执行能力、</w:t>
      </w:r>
      <w:r>
        <w:rPr>
          <w:rFonts w:hint="eastAsia" w:ascii="Times New Roman" w:hAnsi="Times New Roman" w:eastAsia="仿宋_GB2312" w:cs="Times New Roman"/>
          <w:b w:val="0"/>
          <w:bCs w:val="0"/>
          <w:sz w:val="32"/>
          <w:szCs w:val="32"/>
          <w:lang w:eastAsia="zh-CN"/>
        </w:rPr>
        <w:t>依法办事能力、公共服务能力、</w:t>
      </w:r>
      <w:r>
        <w:rPr>
          <w:rFonts w:hint="default" w:ascii="Times New Roman" w:hAnsi="Times New Roman" w:eastAsia="仿宋_GB2312" w:cs="Times New Roman"/>
          <w:b w:val="0"/>
          <w:bCs w:val="0"/>
          <w:sz w:val="32"/>
          <w:szCs w:val="32"/>
        </w:rPr>
        <w:t>文字表达能力</w:t>
      </w:r>
      <w:r>
        <w:rPr>
          <w:rFonts w:hint="eastAsia" w:ascii="Times New Roman" w:hAnsi="Times New Roman" w:eastAsia="仿宋_GB2312" w:cs="Times New Roman"/>
          <w:b w:val="0"/>
          <w:bCs w:val="0"/>
          <w:sz w:val="32"/>
          <w:szCs w:val="32"/>
        </w:rPr>
        <w:t>和应用写作能力</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阅读理解能力</w:t>
      </w:r>
      <w:r>
        <w:rPr>
          <w:rFonts w:hint="default" w:ascii="Times New Roman" w:hAnsi="Times New Roman" w:eastAsia="仿宋_GB2312" w:cs="Times New Roman"/>
          <w:b w:val="0"/>
          <w:bCs w:val="0"/>
          <w:sz w:val="32"/>
          <w:szCs w:val="32"/>
        </w:rPr>
        <w:t>——全面把握给定资料的相关内容，准确理解给定资料的含义，准确提炼事实所包含的观点，并揭示所反映的本质问题。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综合分析能力</w:t>
      </w:r>
      <w:r>
        <w:rPr>
          <w:rFonts w:hint="default" w:ascii="Times New Roman" w:hAnsi="Times New Roman" w:eastAsia="仿宋_GB2312" w:cs="Times New Roman"/>
          <w:b w:val="0"/>
          <w:bCs w:val="0"/>
          <w:sz w:val="32"/>
          <w:szCs w:val="32"/>
        </w:rPr>
        <w:t>——对给定资料的全部或部分的内容、观点或问题进行分析和归纳，多角度地思考资料内容，作出合理的推断或评价。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提出和解决问题能力</w:t>
      </w:r>
      <w:r>
        <w:rPr>
          <w:rFonts w:hint="default" w:ascii="Times New Roman" w:hAnsi="Times New Roman" w:eastAsia="仿宋_GB2312" w:cs="Times New Roman"/>
          <w:b w:val="0"/>
          <w:bCs w:val="0"/>
          <w:sz w:val="32"/>
          <w:szCs w:val="32"/>
        </w:rPr>
        <w:t>——准确理解把握给定资料所反映的问题，提出解决问题的措施或办法。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贯彻执行能力</w:t>
      </w:r>
      <w:r>
        <w:rPr>
          <w:rFonts w:hint="default" w:ascii="Times New Roman" w:hAnsi="Times New Roman" w:eastAsia="仿宋_GB2312" w:cs="Times New Roman"/>
          <w:b w:val="0"/>
          <w:bCs w:val="0"/>
          <w:sz w:val="32"/>
          <w:szCs w:val="32"/>
        </w:rPr>
        <w:t>——能够准确理解工作目标和组织意图，遵循依法行政的原则，根据客观实际情况，及时有效地完成任务。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依法办事能力</w:t>
      </w:r>
      <w:r>
        <w:rPr>
          <w:rFonts w:hint="default" w:ascii="Times New Roman" w:hAnsi="Times New Roman" w:eastAsia="仿宋_GB2312" w:cs="Times New Roman"/>
          <w:b w:val="0"/>
          <w:bCs w:val="0"/>
          <w:sz w:val="32"/>
          <w:szCs w:val="32"/>
        </w:rPr>
        <w:t>——遵循依法行政的原则，综合运用恰当有效的方法完成任务、解决问题、实现目标。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公共服务能力</w:t>
      </w:r>
      <w:r>
        <w:rPr>
          <w:rFonts w:hint="default" w:ascii="Times New Roman" w:hAnsi="Times New Roman" w:eastAsia="仿宋_GB2312" w:cs="Times New Roman"/>
          <w:b w:val="0"/>
          <w:bCs w:val="0"/>
          <w:sz w:val="32"/>
          <w:szCs w:val="32"/>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文字表达能力</w:t>
      </w:r>
      <w:r>
        <w:rPr>
          <w:rFonts w:hint="default" w:ascii="Times New Roman" w:hAnsi="Times New Roman" w:eastAsia="仿宋_GB2312" w:cs="Times New Roman"/>
          <w:b w:val="0"/>
          <w:bCs w:val="0"/>
          <w:sz w:val="32"/>
          <w:szCs w:val="32"/>
        </w:rPr>
        <w:t>——熟练使用指定的语种，对事件、观点进行准确合理的说明、陈述或阐释。</w:t>
      </w:r>
    </w:p>
    <w:p>
      <w:pPr>
        <w:keepNext w:val="0"/>
        <w:keepLines w:val="0"/>
        <w:pageBreakBefore w:val="0"/>
        <w:kinsoku/>
        <w:overflowPunct/>
        <w:topLinePunct w:val="0"/>
        <w:autoSpaceDE/>
        <w:autoSpaceDN/>
        <w:bidi w:val="0"/>
        <w:spacing w:line="580" w:lineRule="exact"/>
        <w:ind w:firstLine="643" w:firstLineChars="200"/>
        <w:textAlignment w:val="auto"/>
        <w:rPr>
          <w:rFonts w:hint="eastAsia" w:ascii="仿宋_GB2312" w:eastAsia="仿宋_GB2312"/>
          <w:color w:val="000000"/>
          <w:sz w:val="32"/>
          <w:szCs w:val="32"/>
        </w:rPr>
      </w:pPr>
      <w:r>
        <w:rPr>
          <w:rFonts w:ascii="仿宋_GB2312" w:eastAsia="仿宋_GB2312"/>
          <w:b/>
          <w:bCs/>
          <w:color w:val="000000"/>
          <w:kern w:val="0"/>
          <w:sz w:val="32"/>
          <w:szCs w:val="32"/>
        </w:rPr>
        <w:t>应用写作能力</w:t>
      </w:r>
      <w:r>
        <w:rPr>
          <w:color w:val="000000"/>
          <w:kern w:val="0"/>
          <w:sz w:val="32"/>
          <w:szCs w:val="32"/>
        </w:rPr>
        <w:t>——</w:t>
      </w:r>
      <w:r>
        <w:rPr>
          <w:rFonts w:ascii="仿宋_GB2312" w:eastAsia="仿宋_GB2312"/>
          <w:color w:val="000000"/>
          <w:sz w:val="32"/>
          <w:szCs w:val="32"/>
        </w:rPr>
        <w:t>要求能够</w:t>
      </w:r>
      <w:r>
        <w:rPr>
          <w:rFonts w:hint="eastAsia" w:ascii="仿宋_GB2312" w:eastAsia="仿宋_GB2312"/>
          <w:color w:val="000000"/>
          <w:sz w:val="32"/>
          <w:szCs w:val="32"/>
        </w:rPr>
        <w:t>结合</w:t>
      </w:r>
      <w:r>
        <w:rPr>
          <w:rFonts w:ascii="仿宋_GB2312" w:eastAsia="仿宋_GB2312"/>
          <w:color w:val="000000"/>
          <w:sz w:val="32"/>
          <w:szCs w:val="32"/>
        </w:rPr>
        <w:t>材料</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工作任务</w:t>
      </w:r>
      <w:r>
        <w:rPr>
          <w:rFonts w:ascii="仿宋_GB2312" w:eastAsia="仿宋_GB2312"/>
          <w:color w:val="000000"/>
          <w:sz w:val="32"/>
          <w:szCs w:val="32"/>
        </w:rPr>
        <w:t>，恰当组织语言，准确、得体、有条理地进行书面表达。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作答要求</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（一）行政职业能力测验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报考者务必携带的考试文具包括黑色字迹的钢笔或签字笔、2B铅笔和橡皮。报考者必须用2B铅笔在指定位置上填涂准考证号，并在答题卡上作答。在试题本或其他位置作答一律无效。 </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（二）申论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试卷包括</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注意事项</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多个给定资料和作答要求，考生根据给定资料，综合运用相关知识进行分析判断、整理加工，按照作答要求进行答题</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试题主要是主观性试题。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MTZlMjk3NzE1ZTQxNGExZjkyMDNjMmY5YmFmZWQifQ=="/>
  </w:docVars>
  <w:rsids>
    <w:rsidRoot w:val="00000000"/>
    <w:rsid w:val="068C5304"/>
    <w:rsid w:val="081F15BC"/>
    <w:rsid w:val="13FA5FFA"/>
    <w:rsid w:val="1CD53A47"/>
    <w:rsid w:val="1E75707A"/>
    <w:rsid w:val="24062489"/>
    <w:rsid w:val="2C7F577D"/>
    <w:rsid w:val="3C3C71E7"/>
    <w:rsid w:val="412030CA"/>
    <w:rsid w:val="47323E71"/>
    <w:rsid w:val="475F2A7D"/>
    <w:rsid w:val="4E336C5F"/>
    <w:rsid w:val="64E6502C"/>
    <w:rsid w:val="68E250A8"/>
    <w:rsid w:val="746C5BB4"/>
    <w:rsid w:val="76391AC6"/>
    <w:rsid w:val="7A9576F6"/>
    <w:rsid w:val="7DCE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自定义1"/>
    <w:basedOn w:val="1"/>
    <w:uiPriority w:val="0"/>
    <w:pPr>
      <w:widowControl/>
      <w:spacing w:line="660" w:lineRule="exact"/>
    </w:pPr>
    <w:rPr>
      <w:rFonts w:ascii="Times New Roman" w:hAnsi="Times New Roman" w:eastAsia="仿宋_GB2312" w:cs="宋体"/>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2022-08-16T01:25:00Z</dcterms:created>
  <dc:creator>1</dc:creator>
  <cp:lastModifiedBy>哈哈</cp:lastModifiedBy>
  <cp:lastPrinted>2023-12-18T02:03:00Z</cp:lastPrinted>
  <dcterms:modified xsi:type="dcterms:W3CDTF">2024-01-04T08:25:40Z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0BB73BF85F8743B887D5A77FEF950B9C</vt:lpwstr>
  </property>
</Properties>
</file>