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pacing w:val="0"/>
          <w:sz w:val="44"/>
          <w:szCs w:val="44"/>
          <w:shd w:val="clear" w:color="auto" w:fill="FFFFFF"/>
          <w:lang w:val="en-US" w:eastAsia="zh-CN"/>
        </w:rPr>
        <w:t>绛县乡村扶贫公益性岗位名额分配表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7"/>
        <w:gridCol w:w="4864"/>
        <w:gridCol w:w="1219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5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乡镇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5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安峪镇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5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陈村镇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5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大交镇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（含2个集中安置点）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85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古绛镇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85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横水镇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85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郝庄乡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85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冷口乡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85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么里镇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85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南樊镇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85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卫庄镇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（含博泽佳苑）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YmQ5YzI1M2YxYTBlODQ0ZGVmNjdiMzg1YWY2NjYifQ=="/>
  </w:docVars>
  <w:rsids>
    <w:rsidRoot w:val="3CF3652E"/>
    <w:rsid w:val="0F8F1193"/>
    <w:rsid w:val="3CF3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2023-12-28T07:12:00Z</dcterms:created>
  <dc:creator>一季花落</dc:creator>
  <cp:lastModifiedBy>一季花落</cp:lastModifiedBy>
  <dcterms:modified xsi:type="dcterms:W3CDTF">2023-12-28T07:15:17Z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EABBC89DCAF24F5796863CF039EEE914_11</vt:lpwstr>
  </property>
</Properties>
</file>