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auto"/>
          <w:spacing w:val="-6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泸州市双港实业投资发展有限公司及下属子公司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应聘简历统计表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03"/>
        <w:gridCol w:w="1250"/>
        <w:gridCol w:w="1487"/>
        <w:gridCol w:w="1483"/>
        <w:gridCol w:w="1290"/>
        <w:gridCol w:w="1800"/>
        <w:gridCol w:w="1594"/>
        <w:gridCol w:w="1796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0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8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最高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highlight w:val="none"/>
              </w:rPr>
              <w:t>职业/执业资格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highlight w:val="none"/>
              </w:rPr>
              <w:t>职称证书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pacing w:val="-6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0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-6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MTIxNDA2MTMyZmYzMjFhZDhkZmU1YzkyNDViM2IifQ=="/>
  </w:docVars>
  <w:rsids>
    <w:rsidRoot w:val="12EA2FD3"/>
    <w:rsid w:val="12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2023-12-27T09:38:00Z</dcterms:created>
  <dc:creator>弓长有钱有钱</dc:creator>
  <cp:lastModifiedBy>弓长有钱有钱</cp:lastModifiedBy>
  <dcterms:modified xsi:type="dcterms:W3CDTF">2023-12-27T09:39:05Z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72823356FE1E4CA28C2807A773B20829_11</vt:lpwstr>
  </property>
</Properties>
</file>