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Style w:val="4"/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2"/>
          <w:sz w:val="32"/>
          <w:szCs w:val="32"/>
          <w:highlight w:val="none"/>
          <w:vertAlign w:val="baseline"/>
          <w:lang w:val="en-US" w:eastAsia="zh-CN"/>
        </w:rPr>
        <w:t>长江职业学院2023年面向社会专项公开招聘工作人员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Style w:val="4"/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2"/>
          <w:sz w:val="32"/>
          <w:szCs w:val="32"/>
          <w:highlight w:val="none"/>
          <w:vertAlign w:val="baseline"/>
          <w:lang w:val="en-US" w:eastAsia="zh-CN"/>
        </w:rPr>
        <w:t>试讲内容</w:t>
      </w:r>
    </w:p>
    <w:p>
      <w:pPr>
        <w:spacing w:line="240" w:lineRule="auto"/>
        <w:jc w:val="both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pPr w:leftFromText="181" w:rightFromText="181" w:vertAnchor="text" w:horzAnchor="page" w:tblpXSpec="center" w:tblpY="103"/>
        <w:tblOverlap w:val="never"/>
        <w:tblW w:w="8306" w:type="dxa"/>
        <w:tblInd w:w="-5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551"/>
        <w:gridCol w:w="2001"/>
        <w:gridCol w:w="638"/>
        <w:gridCol w:w="574"/>
        <w:gridCol w:w="613"/>
        <w:gridCol w:w="796"/>
        <w:gridCol w:w="629"/>
        <w:gridCol w:w="1402"/>
        <w:gridCol w:w="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tblHeader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岗位等级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岗位所属专业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试讲题目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综合素质测试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tblHeader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城市建设学院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42000102101823209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专业技术岗位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专任教师C岗01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技术七级(副高)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土木工程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教材：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《智能建造工程技术》   王鑫、杨泽华等 中国建筑工业出版社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内容：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BIM技术在智慧工地建设中的应用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tblHeader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电商物流学院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42000102101823210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专业技术岗位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专任教师C岗02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技术七级(副高)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工商管理,市场营销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教材：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《消费者行为学》（第七版），荣晓华编著，东北财经大学出版社。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章节：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环境因素与消费者行为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内容：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消费流行与消费者行为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tblHeader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艺术设计学院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42000102101823211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专业技术岗位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专任教师C岗03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技术十级(中级)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艺术学,设计学（可授艺术学、工学学位）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以下题目可任选其一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教材：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《MAYA动画制作》：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内容一：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角色绑定，具体授课案例按需制定。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内容二：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角色运动规律，讲解角色攻击动作设计案例。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要求设置情境教学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tblHeader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财经旅游学院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42000102101823212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专业技术岗位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专任教师C岗04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技术十级(中级)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工商管理,财务管理,会计学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以下题目可任选其一：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内容一：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财务管理实务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试讲内容：项目投资一—项目投资决策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内容二：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财务会计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试讲内容：固定资产核算——固定资产处置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内容三：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税费计算与申报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试讲内容：企业所得税税款计算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tblHeader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医药护理学院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42000102101823216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专业技术岗位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专任教师C岗08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技术十级(中级)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中药学,药学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教材：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药物化学（刘文娟 兰作平） 中国健康传媒体集团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内容：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第十章合成抗菌药和抗病毒药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tblHeader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医药护理学院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42000102101823217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专业技术岗位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专任教师C岗09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技术十级(中级)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生物学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教材：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药物分析技术（刘德洪）化学工业出版社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内容：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项目四——任务1葡萄糖的杂质检查—杂质的限量检查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tblHeader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文化教育学院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42000102101823218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专业技术岗位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专任教师C岗10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技术十级(中级)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教育,学前教育学,美术学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教材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：《学前教育学》（第三版） 张兰香 高等教育出版社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内容：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 xml:space="preserve">第二章 </w:t>
            </w:r>
            <w:r>
              <w:tab/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学前儿童与教师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第三节  学前儿童与教师的关系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试讲形式：板书+ppt课件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tblHeader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马克思主义学院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42000102101823219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专业技术岗位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楷体" w:eastAsia="仿宋_GB2312" w:cs="楷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专任教师C岗11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技术十级(中级)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哲学,马克思主义理论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宋体" w:eastAsia="仿宋_GB2312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教材：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《思想道德与法治》（2023年版）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/>
                <w:bCs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内容：</w:t>
            </w: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第一章领悟人身真谛 把握人生方向第一节人生观是对人生的总看法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default" w:ascii="仿宋_GB2312" w:hAnsi="Calibri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试讲形式：板书+ppt课件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960" w:firstLineChars="3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NTY1NGVkYWY1ZjAxMGJmYzA4YTk3ZDljMDRiODAifQ=="/>
  </w:docVars>
  <w:rsids>
    <w:rsidRoot w:val="2DD0024D"/>
    <w:rsid w:val="2DD0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2023-11-29T01:42:00Z</dcterms:created>
  <dc:creator>讨论组</dc:creator>
  <cp:lastModifiedBy>讨论组</cp:lastModifiedBy>
  <dcterms:modified xsi:type="dcterms:W3CDTF">2023-11-29T01:42:56Z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A0E02B5CC76C451D821547A3981C1DFD_11</vt:lpwstr>
  </property>
</Properties>
</file>