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C" w:rsidRDefault="00F5612C" w:rsidP="00F5612C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</w:p>
    <w:p w:rsidR="00AD1E0C" w:rsidRDefault="00F5612C" w:rsidP="00F5612C"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成都市新津区妇幼保健计划生育服务中心</w:t>
      </w:r>
    </w:p>
    <w:p w:rsidR="00F5612C" w:rsidRDefault="00F5612C" w:rsidP="00F5612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2023</w:t>
      </w:r>
      <w:r>
        <w:rPr>
          <w:rFonts w:hint="eastAsia"/>
          <w:b/>
          <w:bCs/>
          <w:sz w:val="32"/>
          <w:szCs w:val="40"/>
        </w:rPr>
        <w:t>年招聘岗位表</w:t>
      </w:r>
    </w:p>
    <w:tbl>
      <w:tblPr>
        <w:tblpPr w:leftFromText="180" w:rightFromText="180" w:vertAnchor="text" w:horzAnchor="page" w:tblpX="1231" w:tblpY="269"/>
        <w:tblOverlap w:val="never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3"/>
        <w:gridCol w:w="833"/>
        <w:gridCol w:w="1846"/>
        <w:gridCol w:w="2143"/>
        <w:gridCol w:w="583"/>
        <w:gridCol w:w="3524"/>
      </w:tblGrid>
      <w:tr w:rsidR="00F5612C" w:rsidTr="00D25E3A">
        <w:trPr>
          <w:trHeight w:val="340"/>
        </w:trPr>
        <w:tc>
          <w:tcPr>
            <w:tcW w:w="8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招聘</w:t>
            </w:r>
          </w:p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岗位</w:t>
            </w:r>
          </w:p>
        </w:tc>
        <w:tc>
          <w:tcPr>
            <w:tcW w:w="8096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岗位条件</w:t>
            </w:r>
          </w:p>
        </w:tc>
      </w:tr>
      <w:tr w:rsidR="00F5612C" w:rsidTr="00D25E3A">
        <w:trPr>
          <w:trHeight w:val="312"/>
        </w:trPr>
        <w:tc>
          <w:tcPr>
            <w:tcW w:w="83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5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3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</w:rPr>
              <w:t>其他条件</w:t>
            </w:r>
          </w:p>
        </w:tc>
      </w:tr>
      <w:tr w:rsidR="00F5612C" w:rsidTr="00D25E3A">
        <w:trPr>
          <w:trHeight w:hRule="exact" w:val="1333"/>
        </w:trPr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18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本科：临床医学，</w:t>
            </w:r>
          </w:p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儿科学</w:t>
            </w:r>
          </w:p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研究生：儿科学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5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pStyle w:val="TableParagraph"/>
              <w:spacing w:line="240" w:lineRule="exact"/>
              <w:ind w:right="97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1988年1月1日及以后出生；若取得主治医师资格的，年龄可放宽到1983年1月1日及以后出生；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取得省级及以上卫生健康行政部门颁发的儿科专业住院医师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培合格证或中级及以上卫生专业技术资格证</w:t>
            </w:r>
          </w:p>
        </w:tc>
      </w:tr>
      <w:tr w:rsidR="00F5612C" w:rsidTr="00D25E3A">
        <w:trPr>
          <w:trHeight w:hRule="exact" w:val="1690"/>
        </w:trPr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tabs>
                <w:tab w:val="left" w:pos="294"/>
              </w:tabs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2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妇产科</w:t>
            </w:r>
          </w:p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8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本科：临床医学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研究生：妇产科学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5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pStyle w:val="TableParagraph"/>
              <w:spacing w:line="240" w:lineRule="exact"/>
              <w:ind w:right="97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1988年1月1日及以后出生；若取得主治医师资格的，年龄可放宽到1983年1月1日及以后出生；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取得省级及以上卫生健康行政部门颁发的妇产科专业住院医师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培合格证或妇产科学中级及以上卫生专业技术资格证</w:t>
            </w:r>
          </w:p>
        </w:tc>
      </w:tr>
      <w:tr w:rsidR="00F5612C" w:rsidTr="00D25E3A">
        <w:trPr>
          <w:trHeight w:hRule="exact" w:val="1474"/>
        </w:trPr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中医妇</w:t>
            </w:r>
          </w:p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科医师</w:t>
            </w:r>
          </w:p>
        </w:tc>
        <w:tc>
          <w:tcPr>
            <w:tcW w:w="184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本科：中医学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研究生：中医妇科学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pStyle w:val="TableParagraph"/>
              <w:spacing w:line="240" w:lineRule="exact"/>
              <w:ind w:right="97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1988年1月1日及以后出生；若取得主治医师资格的，年龄可放宽到1983年1月1日及以后出生；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取得中医专业省级医疗卫生健康行政部门颁发的《住院医师规范化培训合格证书》或取得中医妇科中级及以上专业技术资格证书</w:t>
            </w:r>
          </w:p>
        </w:tc>
      </w:tr>
      <w:tr w:rsidR="00F5612C" w:rsidTr="00D25E3A">
        <w:trPr>
          <w:trHeight w:hRule="exact" w:val="1459"/>
        </w:trPr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中医儿</w:t>
            </w:r>
          </w:p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科医师</w:t>
            </w:r>
          </w:p>
        </w:tc>
        <w:tc>
          <w:tcPr>
            <w:tcW w:w="184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本科：中医学，中医儿科学</w:t>
            </w:r>
          </w:p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研究生：中医儿科学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5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pStyle w:val="TableParagraph"/>
              <w:spacing w:line="240" w:lineRule="exact"/>
              <w:ind w:right="97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1988年1月1日及以后出生；若取得主治医师资格的，年龄可放宽到1983年1月1日及以后出生；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取得中医专业省级医疗卫生健康行政部门颁发的《住院医师规范化培训合格证书》或取得中医儿科中级及以上专业技术资格证书</w:t>
            </w:r>
          </w:p>
        </w:tc>
      </w:tr>
      <w:tr w:rsidR="00F5612C" w:rsidTr="00D25E3A">
        <w:trPr>
          <w:trHeight w:hRule="exact" w:val="1628"/>
        </w:trPr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18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本科：中医康复学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研究生：针灸推拿学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5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pStyle w:val="TableParagraph"/>
              <w:spacing w:line="240" w:lineRule="exact"/>
              <w:ind w:right="97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1988年1月1日及以后出生；若取得主治医师资格的，年龄可放宽到1983年1月1日及以后出生；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取得中医康复治疗省级医疗卫生健康行政部门颁发的《住院医师规范化培训合格证书》或取得中医康复中级及以上专业技术资格证书</w:t>
            </w:r>
          </w:p>
        </w:tc>
      </w:tr>
      <w:tr w:rsidR="00F5612C" w:rsidTr="00D25E3A">
        <w:trPr>
          <w:trHeight w:hRule="exact" w:val="1047"/>
        </w:trPr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中药师</w:t>
            </w:r>
          </w:p>
        </w:tc>
        <w:tc>
          <w:tcPr>
            <w:tcW w:w="18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本科：中药学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普通高等教育本科及以上学历，取得学历相应学位</w:t>
            </w:r>
          </w:p>
        </w:tc>
        <w:tc>
          <w:tcPr>
            <w:tcW w:w="5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pStyle w:val="TableParagraph"/>
              <w:spacing w:line="240" w:lineRule="exact"/>
              <w:ind w:right="9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1988年1月1日及以后出生；若取得主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管药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师资格的，年龄可放宽到1983年1月1日及以后出生；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取得主管中药师及以上资格证书</w:t>
            </w:r>
          </w:p>
        </w:tc>
      </w:tr>
      <w:tr w:rsidR="00F5612C" w:rsidTr="00D25E3A">
        <w:trPr>
          <w:trHeight w:hRule="exact" w:val="961"/>
        </w:trPr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8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5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5612C" w:rsidRDefault="00F5612C" w:rsidP="00D25E3A">
            <w:pPr>
              <w:pStyle w:val="TableParagraph"/>
              <w:spacing w:line="240" w:lineRule="exact"/>
              <w:ind w:right="9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1988年1月1日及以后出生；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取得护士执业资格证</w:t>
            </w:r>
          </w:p>
        </w:tc>
      </w:tr>
    </w:tbl>
    <w:p w:rsidR="009E5860" w:rsidRPr="00F5612C" w:rsidRDefault="009E5860"/>
    <w:sectPr w:rsidR="009E5860" w:rsidRPr="00F5612C" w:rsidSect="009E5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FB" w:rsidRPr="008A61A4" w:rsidRDefault="007718FB" w:rsidP="00F5612C">
      <w:pPr>
        <w:spacing w:line="240" w:lineRule="auto"/>
        <w:rPr>
          <w:b/>
          <w:sz w:val="28"/>
          <w:szCs w:val="28"/>
        </w:rPr>
      </w:pPr>
      <w:r>
        <w:separator/>
      </w:r>
    </w:p>
  </w:endnote>
  <w:endnote w:type="continuationSeparator" w:id="0">
    <w:p w:rsidR="007718FB" w:rsidRPr="008A61A4" w:rsidRDefault="007718FB" w:rsidP="00F5612C">
      <w:pPr>
        <w:spacing w:line="240" w:lineRule="auto"/>
        <w:rPr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FB" w:rsidRPr="008A61A4" w:rsidRDefault="007718FB" w:rsidP="00F5612C">
      <w:pPr>
        <w:spacing w:line="240" w:lineRule="auto"/>
        <w:rPr>
          <w:b/>
          <w:sz w:val="28"/>
          <w:szCs w:val="28"/>
        </w:rPr>
      </w:pPr>
      <w:r>
        <w:separator/>
      </w:r>
    </w:p>
  </w:footnote>
  <w:footnote w:type="continuationSeparator" w:id="0">
    <w:p w:rsidR="007718FB" w:rsidRPr="008A61A4" w:rsidRDefault="007718FB" w:rsidP="00F5612C">
      <w:pPr>
        <w:spacing w:line="240" w:lineRule="auto"/>
        <w:rPr>
          <w:b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12C"/>
    <w:rsid w:val="001A7B3B"/>
    <w:rsid w:val="00704613"/>
    <w:rsid w:val="007718FB"/>
    <w:rsid w:val="009E5860"/>
    <w:rsid w:val="00AD1E0C"/>
    <w:rsid w:val="00BB2696"/>
    <w:rsid w:val="00F5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C"/>
    <w:pPr>
      <w:widowControl w:val="0"/>
      <w:spacing w:line="6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1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1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12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5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2023-11-21T08:36:00Z</dcterms:created>
  <dcterms:modified xsi:type="dcterms:W3CDTF">2023-11-21T08:36:00Z</dcterms:modified>
</cp:coreProperties>
</file>