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05" w:tblpY="2962"/>
        <w:tblOverlap w:val="never"/>
        <w:tblW w:w="99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82"/>
        <w:gridCol w:w="645"/>
        <w:gridCol w:w="1623"/>
        <w:gridCol w:w="906"/>
        <w:gridCol w:w="800"/>
        <w:gridCol w:w="1744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需求专业及代码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招聘名额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1.会计学1253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2.审计0257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18周岁以上、35周岁以下，即198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日期间出生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1.只招聘2023年应届毕业生。2专业参考《2022年国家教育部专业目录》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科技项目服务管理岗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1.计算机科学与技术081203  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2.统计学0203 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3.法学030105、030106、030107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4.财政学020203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5.公共管理1252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18周岁以上、35周岁以下，即198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日期间出生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1.只招聘2023年应届毕业生。2.专业参考《2022年国家教育部专业目录》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海南省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科技创新发展服务中心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年公开招聘工作人员职位表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jc w:val="left"/>
        <w:outlineLvl w:val="9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备注：2023年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应届毕业生是指：（1）纳入国家统招计划、被普通高等院校录取、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highlight w:val="none"/>
        </w:rPr>
        <w:t>毕业后具有省级教育主管部门颁发的普通高校毕业生就业报到证的202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年应届毕业生；（2）20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年、202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国家统一招生的普通高校毕业生离校时和在择业期内（国家规定择业期为二年）未落实工作单位，其档案、组织关系仍保留在原毕业学校，或者保留在各级毕业生就业主管部门（毕业生就业指导服务中心）、各级人才交流服务机构和各级公共就业服务机构的毕业生；（3）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年9月1日至报名时间截止前取得国（境）外学位并完成教育部门学历认证的留学回国人员，未落实工作单位的。</w:t>
      </w:r>
    </w:p>
    <w:p>
      <w:pPr>
        <w:tabs>
          <w:tab w:val="left" w:pos="1612"/>
        </w:tabs>
        <w:jc w:val="lef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ExYThjZjBlMGM0MGQzY2U2NGU5MDczZTQyMzUxYz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2023-10-10T07:50:00Z</dcterms:created>
  <dc:creator>Lenovo</dc:creator>
  <cp:lastModifiedBy>戴恩宇</cp:lastModifiedBy>
  <dcterms:modified xsi:type="dcterms:W3CDTF">2023-10-18T00:21:01Z</dcterms:modified>
  <dc:title>岗位代码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134B712A3EE54FF480EBB5C08103EA21_11</vt:lpwstr>
  </property>
</Properties>
</file>