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附件4</w:t>
      </w:r>
    </w:p>
    <w:p>
      <w:pPr>
        <w:jc w:val="center"/>
        <w:rPr>
          <w:rFonts w:hint="eastAsia" w:ascii="方正小标宋_GBK" w:eastAsia="方正小标宋_GBK"/>
          <w:sz w:val="44"/>
          <w:szCs w:val="44"/>
        </w:rPr>
      </w:pPr>
      <w:r>
        <w:rPr>
          <w:rFonts w:hint="eastAsia" w:ascii="Times New Roman" w:hAnsi="Times New Roman" w:eastAsia="方正小标宋_GBK"/>
          <w:sz w:val="44"/>
          <w:szCs w:val="44"/>
        </w:rPr>
        <w:t>2024</w:t>
      </w:r>
      <w:r>
        <w:rPr>
          <w:rFonts w:hint="eastAsia" w:ascii="方正小标宋_GBK" w:eastAsia="方正小标宋_GBK"/>
          <w:sz w:val="44"/>
          <w:szCs w:val="44"/>
        </w:rPr>
        <w:t>年度泰州市青年人才选聘岗位简介表（党政类岗位）</w:t>
      </w:r>
    </w:p>
    <w:tbl>
      <w:tblPr>
        <w:tblStyle w:val="4"/>
        <w:tblW w:w="5127"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932"/>
        <w:gridCol w:w="594"/>
        <w:gridCol w:w="993"/>
        <w:gridCol w:w="993"/>
        <w:gridCol w:w="708"/>
        <w:gridCol w:w="568"/>
        <w:gridCol w:w="993"/>
        <w:gridCol w:w="2834"/>
        <w:gridCol w:w="2628"/>
        <w:gridCol w:w="1073"/>
        <w:gridCol w:w="571"/>
        <w:gridCol w:w="829"/>
        <w:gridCol w:w="180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0" w:hRule="atLeast"/>
          <w:tblHeader/>
          <w:jc w:val="center"/>
        </w:trPr>
        <w:tc>
          <w:tcPr>
            <w:tcW w:w="300" w:type="pct"/>
            <w:vMerge w:val="restar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地区</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名称</w:t>
            </w:r>
          </w:p>
        </w:tc>
        <w:tc>
          <w:tcPr>
            <w:tcW w:w="511" w:type="pct"/>
            <w:gridSpan w:val="2"/>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b/>
                <w:bCs/>
                <w:kern w:val="0"/>
                <w:sz w:val="20"/>
                <w:szCs w:val="20"/>
              </w:rPr>
            </w:pPr>
            <w:r>
              <w:rPr>
                <w:rFonts w:hint="eastAsia" w:ascii="宋体" w:hAnsi="宋体" w:eastAsia="宋体" w:cs="Times New Roman"/>
                <w:b/>
                <w:bCs/>
                <w:kern w:val="0"/>
                <w:sz w:val="20"/>
                <w:szCs w:val="20"/>
              </w:rPr>
              <w:t>选聘单位</w:t>
            </w:r>
          </w:p>
        </w:tc>
        <w:tc>
          <w:tcPr>
            <w:tcW w:w="319" w:type="pct"/>
            <w:vMerge w:val="restar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岗位</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类别</w:t>
            </w:r>
          </w:p>
        </w:tc>
        <w:tc>
          <w:tcPr>
            <w:tcW w:w="228" w:type="pct"/>
            <w:vMerge w:val="restar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岗位</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代码</w:t>
            </w:r>
          </w:p>
        </w:tc>
        <w:tc>
          <w:tcPr>
            <w:tcW w:w="182" w:type="pct"/>
            <w:vMerge w:val="restar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b/>
                <w:bCs/>
                <w:kern w:val="0"/>
                <w:sz w:val="20"/>
                <w:szCs w:val="20"/>
              </w:rPr>
            </w:pPr>
            <w:r>
              <w:rPr>
                <w:rFonts w:hint="eastAsia" w:ascii="宋体" w:hAnsi="宋体" w:eastAsia="宋体" w:cs="Times New Roman"/>
                <w:b/>
                <w:bCs/>
                <w:kern w:val="0"/>
                <w:sz w:val="20"/>
                <w:szCs w:val="20"/>
              </w:rPr>
              <w:t>选聘</w:t>
            </w:r>
            <w:r>
              <w:rPr>
                <w:rFonts w:hint="eastAsia" w:ascii="宋体" w:hAnsi="宋体" w:eastAsia="宋体" w:cs="Times New Roman"/>
                <w:b/>
                <w:bCs/>
                <w:kern w:val="0"/>
                <w:sz w:val="20"/>
                <w:szCs w:val="20"/>
              </w:rPr>
              <w:br w:type="textWrapping"/>
            </w:r>
            <w:r>
              <w:rPr>
                <w:rFonts w:hint="eastAsia" w:ascii="宋体" w:hAnsi="宋体" w:eastAsia="宋体" w:cs="Times New Roman"/>
                <w:b/>
                <w:bCs/>
                <w:kern w:val="0"/>
                <w:sz w:val="20"/>
                <w:szCs w:val="20"/>
              </w:rPr>
              <w:t>人数</w:t>
            </w:r>
          </w:p>
        </w:tc>
        <w:tc>
          <w:tcPr>
            <w:tcW w:w="2079" w:type="pct"/>
            <w:gridSpan w:val="3"/>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选聘条件</w:t>
            </w:r>
          </w:p>
        </w:tc>
        <w:tc>
          <w:tcPr>
            <w:tcW w:w="345" w:type="pct"/>
            <w:vMerge w:val="restart"/>
            <w:shd w:val="clear" w:color="auto" w:fill="auto"/>
            <w:tcMar>
              <w:top w:w="28" w:type="dxa"/>
              <w:left w:w="57" w:type="dxa"/>
              <w:bottom w:w="28" w:type="dxa"/>
              <w:right w:w="57" w:type="dxa"/>
            </w:tcMar>
            <w:vAlign w:val="center"/>
          </w:tcPr>
          <w:p>
            <w:pPr>
              <w:widowControl/>
              <w:spacing w:line="240" w:lineRule="exact"/>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联系方式</w:t>
            </w:r>
          </w:p>
        </w:tc>
        <w:tc>
          <w:tcPr>
            <w:tcW w:w="183" w:type="pct"/>
            <w:vMerge w:val="restar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开考</w:t>
            </w:r>
          </w:p>
          <w:p>
            <w:pPr>
              <w:widowControl/>
              <w:spacing w:line="24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比例</w:t>
            </w:r>
          </w:p>
        </w:tc>
        <w:tc>
          <w:tcPr>
            <w:tcW w:w="267" w:type="pct"/>
            <w:vMerge w:val="restar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考试</w:t>
            </w:r>
          </w:p>
          <w:p>
            <w:pPr>
              <w:widowControl/>
              <w:spacing w:line="24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形式</w:t>
            </w:r>
          </w:p>
        </w:tc>
        <w:tc>
          <w:tcPr>
            <w:tcW w:w="582" w:type="pct"/>
            <w:vMerge w:val="restar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b/>
                <w:bCs/>
                <w:kern w:val="0"/>
                <w:sz w:val="20"/>
                <w:szCs w:val="20"/>
              </w:rPr>
            </w:pPr>
            <w:r>
              <w:rPr>
                <w:rFonts w:hint="eastAsia" w:ascii="宋体" w:hAnsi="宋体" w:eastAsia="宋体" w:cs="Times New Roman"/>
                <w:b/>
                <w:bCs/>
                <w:kern w:val="0"/>
                <w:sz w:val="20"/>
                <w:szCs w:val="20"/>
              </w:rPr>
              <w:t>优惠政策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tblHeader/>
          <w:jc w:val="center"/>
        </w:trPr>
        <w:tc>
          <w:tcPr>
            <w:tcW w:w="300"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b/>
                <w:bCs/>
                <w:kern w:val="0"/>
                <w:sz w:val="20"/>
                <w:szCs w:val="20"/>
              </w:rPr>
            </w:pPr>
          </w:p>
        </w:tc>
        <w:tc>
          <w:tcPr>
            <w:tcW w:w="191"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Times New Roman"/>
                <w:b/>
                <w:bCs/>
                <w:kern w:val="0"/>
                <w:sz w:val="20"/>
                <w:szCs w:val="20"/>
              </w:rPr>
            </w:pPr>
            <w:r>
              <w:rPr>
                <w:rFonts w:hint="eastAsia" w:ascii="宋体" w:hAnsi="宋体" w:eastAsia="宋体" w:cs="Times New Roman"/>
                <w:b/>
                <w:bCs/>
                <w:kern w:val="0"/>
                <w:sz w:val="20"/>
                <w:szCs w:val="20"/>
              </w:rPr>
              <w:t>单位</w:t>
            </w:r>
          </w:p>
          <w:p>
            <w:pPr>
              <w:widowControl/>
              <w:spacing w:line="240" w:lineRule="exact"/>
              <w:jc w:val="center"/>
              <w:rPr>
                <w:rFonts w:ascii="Times New Roman" w:hAnsi="Times New Roman" w:eastAsia="宋体" w:cs="Times New Roman"/>
                <w:b/>
                <w:bCs/>
                <w:kern w:val="0"/>
                <w:sz w:val="20"/>
                <w:szCs w:val="20"/>
              </w:rPr>
            </w:pPr>
            <w:r>
              <w:rPr>
                <w:rFonts w:hint="eastAsia" w:ascii="宋体" w:hAnsi="宋体" w:eastAsia="宋体" w:cs="Times New Roman"/>
                <w:b/>
                <w:bCs/>
                <w:kern w:val="0"/>
                <w:sz w:val="20"/>
                <w:szCs w:val="20"/>
              </w:rPr>
              <w:t>代码</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单位全称</w:t>
            </w:r>
          </w:p>
        </w:tc>
        <w:tc>
          <w:tcPr>
            <w:tcW w:w="319"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b/>
                <w:bCs/>
                <w:kern w:val="0"/>
                <w:sz w:val="20"/>
                <w:szCs w:val="20"/>
              </w:rPr>
            </w:pPr>
          </w:p>
        </w:tc>
        <w:tc>
          <w:tcPr>
            <w:tcW w:w="228"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b/>
                <w:bCs/>
                <w:kern w:val="0"/>
                <w:sz w:val="20"/>
                <w:szCs w:val="20"/>
              </w:rPr>
            </w:pPr>
          </w:p>
        </w:tc>
        <w:tc>
          <w:tcPr>
            <w:tcW w:w="182" w:type="pct"/>
            <w:vMerge w:val="continue"/>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b/>
                <w:bCs/>
                <w:kern w:val="0"/>
                <w:sz w:val="20"/>
                <w:szCs w:val="20"/>
              </w:rPr>
            </w:pP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b/>
                <w:bCs/>
                <w:kern w:val="0"/>
                <w:sz w:val="20"/>
                <w:szCs w:val="20"/>
              </w:rPr>
            </w:pPr>
            <w:r>
              <w:rPr>
                <w:rFonts w:hint="eastAsia" w:ascii="宋体" w:hAnsi="宋体" w:eastAsia="宋体" w:cs="Times New Roman"/>
                <w:b/>
                <w:bCs/>
                <w:kern w:val="0"/>
                <w:sz w:val="20"/>
                <w:szCs w:val="20"/>
              </w:rPr>
              <w:t>学历</w:t>
            </w:r>
          </w:p>
        </w:tc>
        <w:tc>
          <w:tcPr>
            <w:tcW w:w="91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b/>
                <w:bCs/>
                <w:kern w:val="0"/>
                <w:sz w:val="20"/>
                <w:szCs w:val="20"/>
              </w:rPr>
            </w:pPr>
            <w:r>
              <w:rPr>
                <w:rFonts w:hint="eastAsia" w:ascii="宋体" w:hAnsi="宋体" w:eastAsia="宋体" w:cs="Times New Roman"/>
                <w:b/>
                <w:bCs/>
                <w:kern w:val="0"/>
                <w:sz w:val="20"/>
                <w:szCs w:val="20"/>
              </w:rPr>
              <w:t>专业</w:t>
            </w:r>
          </w:p>
        </w:tc>
        <w:tc>
          <w:tcPr>
            <w:tcW w:w="846"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其他条件</w:t>
            </w:r>
          </w:p>
        </w:tc>
        <w:tc>
          <w:tcPr>
            <w:tcW w:w="345" w:type="pct"/>
            <w:vMerge w:val="continue"/>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b/>
                <w:bCs/>
                <w:kern w:val="0"/>
                <w:sz w:val="20"/>
                <w:szCs w:val="20"/>
              </w:rPr>
            </w:pPr>
          </w:p>
        </w:tc>
        <w:tc>
          <w:tcPr>
            <w:tcW w:w="183"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b/>
                <w:bCs/>
                <w:kern w:val="0"/>
                <w:sz w:val="20"/>
                <w:szCs w:val="20"/>
              </w:rPr>
            </w:pPr>
          </w:p>
        </w:tc>
        <w:tc>
          <w:tcPr>
            <w:tcW w:w="267"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b/>
                <w:bCs/>
                <w:kern w:val="0"/>
                <w:sz w:val="20"/>
                <w:szCs w:val="20"/>
              </w:rPr>
            </w:pPr>
          </w:p>
        </w:tc>
        <w:tc>
          <w:tcPr>
            <w:tcW w:w="582" w:type="pct"/>
            <w:vMerge w:val="continue"/>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b/>
                <w:bCs/>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021" w:hRule="atLeast"/>
          <w:jc w:val="center"/>
        </w:trPr>
        <w:tc>
          <w:tcPr>
            <w:tcW w:w="300"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泰州市</w:t>
            </w:r>
          </w:p>
        </w:tc>
        <w:tc>
          <w:tcPr>
            <w:tcW w:w="191"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1A</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泰州市</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青年人才储备中心</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综合类</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（男生）</w:t>
            </w:r>
          </w:p>
        </w:tc>
        <w:tc>
          <w:tcPr>
            <w:tcW w:w="228"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1A-1</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10</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硕士研究生及以上或C9本科</w:t>
            </w:r>
          </w:p>
        </w:tc>
        <w:tc>
          <w:tcPr>
            <w:tcW w:w="912"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不限</w:t>
            </w:r>
          </w:p>
        </w:tc>
        <w:tc>
          <w:tcPr>
            <w:tcW w:w="846" w:type="pct"/>
            <w:vMerge w:val="restart"/>
            <w:shd w:val="clear" w:color="auto" w:fill="auto"/>
            <w:tcMar>
              <w:top w:w="28" w:type="dxa"/>
              <w:left w:w="57" w:type="dxa"/>
              <w:bottom w:w="28" w:type="dxa"/>
              <w:right w:w="57" w:type="dxa"/>
            </w:tcMar>
            <w:vAlign w:val="center"/>
          </w:tcPr>
          <w:p>
            <w:pPr>
              <w:widowControl/>
              <w:numPr>
                <w:ilvl w:val="0"/>
                <w:numId w:val="0"/>
              </w:numPr>
              <w:spacing w:line="240" w:lineRule="exact"/>
              <w:rPr>
                <w:rFonts w:hint="eastAsia" w:ascii="宋体" w:hAnsi="宋体" w:eastAsia="宋体" w:cs="宋体"/>
                <w:kern w:val="0"/>
                <w:sz w:val="20"/>
                <w:szCs w:val="20"/>
              </w:rPr>
            </w:pPr>
            <w:r>
              <w:rPr>
                <w:rFonts w:hint="eastAsia" w:ascii="宋体" w:hAnsi="宋体" w:eastAsia="宋体" w:cs="宋体"/>
                <w:kern w:val="0"/>
                <w:sz w:val="20"/>
                <w:szCs w:val="20"/>
                <w:lang w:val="en-US" w:eastAsia="zh-CN" w:bidi="ar-SA"/>
              </w:rPr>
              <w:t>1.</w:t>
            </w:r>
            <w:r>
              <w:rPr>
                <w:rFonts w:hint="eastAsia" w:ascii="宋体" w:hAnsi="宋体" w:eastAsia="宋体" w:cs="宋体"/>
                <w:kern w:val="0"/>
                <w:sz w:val="20"/>
                <w:szCs w:val="20"/>
                <w:lang w:val="en-US" w:eastAsia="zh-CN"/>
              </w:rPr>
              <w:t>研究生</w:t>
            </w:r>
            <w:r>
              <w:rPr>
                <w:rFonts w:hint="eastAsia" w:ascii="宋体" w:hAnsi="宋体" w:eastAsia="宋体" w:cs="宋体"/>
                <w:kern w:val="0"/>
                <w:sz w:val="20"/>
                <w:szCs w:val="20"/>
              </w:rPr>
              <w:t>毕业院校</w:t>
            </w:r>
            <w:r>
              <w:rPr>
                <w:rFonts w:hint="eastAsia" w:ascii="宋体" w:hAnsi="宋体" w:eastAsia="宋体" w:cs="宋体"/>
                <w:kern w:val="0"/>
                <w:sz w:val="20"/>
                <w:szCs w:val="20"/>
                <w:lang w:val="en-US" w:eastAsia="zh-CN"/>
              </w:rPr>
              <w:t>须为</w:t>
            </w:r>
            <w:r>
              <w:rPr>
                <w:rFonts w:hint="eastAsia" w:ascii="宋体" w:hAnsi="宋体" w:eastAsia="宋体" w:cs="宋体"/>
                <w:kern w:val="0"/>
                <w:sz w:val="20"/>
                <w:szCs w:val="20"/>
              </w:rPr>
              <w:t>第一轮“一流大学”建设高校</w:t>
            </w:r>
            <w:r>
              <w:rPr>
                <w:rFonts w:hint="eastAsia" w:ascii="宋体" w:hAnsi="宋体" w:eastAsia="宋体" w:cs="宋体"/>
                <w:kern w:val="0"/>
                <w:sz w:val="20"/>
                <w:szCs w:val="20"/>
                <w:lang w:val="en-US" w:eastAsia="zh-CN"/>
              </w:rPr>
              <w:t>或</w:t>
            </w:r>
            <w:r>
              <w:rPr>
                <w:rFonts w:hint="eastAsia" w:ascii="宋体" w:hAnsi="宋体" w:eastAsia="宋体" w:cs="宋体"/>
                <w:kern w:val="0"/>
                <w:sz w:val="20"/>
                <w:szCs w:val="20"/>
              </w:rPr>
              <w:t>最新世界大学排名榜单（</w:t>
            </w:r>
            <w:r>
              <w:rPr>
                <w:rFonts w:hint="eastAsia" w:ascii="Times New Roman" w:hAnsi="Times New Roman" w:eastAsia="宋体" w:cs="宋体"/>
                <w:kern w:val="0"/>
                <w:sz w:val="20"/>
                <w:szCs w:val="20"/>
              </w:rPr>
              <w:t>QS</w:t>
            </w:r>
            <w:r>
              <w:rPr>
                <w:rFonts w:hint="eastAsia" w:ascii="宋体" w:hAnsi="宋体" w:eastAsia="宋体" w:cs="宋体"/>
                <w:kern w:val="0"/>
                <w:sz w:val="20"/>
                <w:szCs w:val="20"/>
              </w:rPr>
              <w:t>、</w:t>
            </w:r>
            <w:r>
              <w:rPr>
                <w:rFonts w:hint="eastAsia" w:ascii="Times New Roman" w:hAnsi="Times New Roman" w:eastAsia="宋体" w:cs="宋体"/>
                <w:kern w:val="0"/>
                <w:sz w:val="20"/>
                <w:szCs w:val="20"/>
              </w:rPr>
              <w:t>THE</w:t>
            </w:r>
            <w:r>
              <w:rPr>
                <w:rFonts w:hint="eastAsia" w:ascii="宋体" w:hAnsi="宋体" w:eastAsia="宋体" w:cs="宋体"/>
                <w:kern w:val="0"/>
                <w:sz w:val="20"/>
                <w:szCs w:val="20"/>
              </w:rPr>
              <w:t>、</w:t>
            </w:r>
            <w:r>
              <w:rPr>
                <w:rFonts w:hint="eastAsia" w:ascii="Times New Roman" w:hAnsi="Times New Roman" w:eastAsia="宋体" w:cs="宋体"/>
                <w:kern w:val="0"/>
                <w:sz w:val="20"/>
                <w:szCs w:val="20"/>
              </w:rPr>
              <w:t>U</w:t>
            </w:r>
            <w:r>
              <w:rPr>
                <w:rFonts w:hint="eastAsia" w:ascii="宋体" w:hAnsi="宋体" w:eastAsia="宋体" w:cs="宋体"/>
                <w:kern w:val="0"/>
                <w:sz w:val="20"/>
                <w:szCs w:val="20"/>
              </w:rPr>
              <w:t>.</w:t>
            </w:r>
            <w:r>
              <w:rPr>
                <w:rFonts w:hint="eastAsia" w:ascii="Times New Roman" w:hAnsi="Times New Roman" w:eastAsia="宋体" w:cs="宋体"/>
                <w:kern w:val="0"/>
                <w:sz w:val="20"/>
                <w:szCs w:val="20"/>
              </w:rPr>
              <w:t>S</w:t>
            </w:r>
            <w:r>
              <w:rPr>
                <w:rFonts w:hint="eastAsia" w:ascii="宋体" w:hAnsi="宋体" w:eastAsia="宋体" w:cs="宋体"/>
                <w:kern w:val="0"/>
                <w:sz w:val="20"/>
                <w:szCs w:val="20"/>
              </w:rPr>
              <w:t>.</w:t>
            </w:r>
            <w:r>
              <w:rPr>
                <w:rFonts w:hint="eastAsia" w:ascii="Times New Roman" w:hAnsi="Times New Roman" w:eastAsia="宋体" w:cs="宋体"/>
                <w:kern w:val="0"/>
                <w:sz w:val="20"/>
                <w:szCs w:val="20"/>
              </w:rPr>
              <w:t>NEWS</w:t>
            </w:r>
            <w:r>
              <w:rPr>
                <w:rFonts w:hint="eastAsia" w:ascii="宋体" w:hAnsi="宋体" w:eastAsia="宋体" w:cs="宋体"/>
                <w:kern w:val="0"/>
                <w:sz w:val="20"/>
                <w:szCs w:val="20"/>
              </w:rPr>
              <w:t>、</w:t>
            </w:r>
            <w:r>
              <w:rPr>
                <w:rFonts w:hint="eastAsia" w:ascii="Times New Roman" w:hAnsi="Times New Roman" w:eastAsia="宋体" w:cs="宋体"/>
                <w:kern w:val="0"/>
                <w:sz w:val="20"/>
                <w:szCs w:val="20"/>
              </w:rPr>
              <w:t>ARWU</w:t>
            </w:r>
            <w:r>
              <w:rPr>
                <w:rFonts w:hint="eastAsia" w:ascii="宋体" w:hAnsi="宋体" w:eastAsia="宋体" w:cs="宋体"/>
                <w:kern w:val="0"/>
                <w:sz w:val="20"/>
                <w:szCs w:val="20"/>
              </w:rPr>
              <w:t>、</w:t>
            </w:r>
            <w:r>
              <w:rPr>
                <w:rFonts w:hint="eastAsia" w:ascii="Times New Roman" w:hAnsi="Times New Roman" w:eastAsia="宋体" w:cs="宋体"/>
                <w:kern w:val="0"/>
                <w:sz w:val="20"/>
                <w:szCs w:val="20"/>
              </w:rPr>
              <w:t>CWUR</w:t>
            </w:r>
            <w:r>
              <w:rPr>
                <w:rFonts w:hint="eastAsia" w:ascii="宋体" w:hAnsi="宋体" w:eastAsia="宋体" w:cs="宋体"/>
                <w:kern w:val="0"/>
                <w:sz w:val="20"/>
                <w:szCs w:val="20"/>
              </w:rPr>
              <w:t>）前</w:t>
            </w:r>
            <w:r>
              <w:rPr>
                <w:rFonts w:hint="eastAsia" w:ascii="Times New Roman" w:hAnsi="Times New Roman" w:eastAsia="宋体" w:cs="宋体"/>
                <w:kern w:val="0"/>
                <w:sz w:val="20"/>
                <w:szCs w:val="20"/>
              </w:rPr>
              <w:t>100</w:t>
            </w:r>
            <w:r>
              <w:rPr>
                <w:rFonts w:hint="eastAsia" w:ascii="宋体" w:hAnsi="宋体" w:eastAsia="宋体" w:cs="宋体"/>
                <w:kern w:val="0"/>
                <w:sz w:val="20"/>
                <w:szCs w:val="20"/>
              </w:rPr>
              <w:t>名国（境）外高校</w:t>
            </w:r>
            <w:r>
              <w:rPr>
                <w:rFonts w:hint="eastAsia" w:ascii="宋体" w:hAnsi="宋体" w:eastAsia="宋体" w:cs="宋体"/>
                <w:kern w:val="0"/>
                <w:sz w:val="20"/>
                <w:szCs w:val="20"/>
                <w:lang w:eastAsia="zh-CN"/>
              </w:rPr>
              <w:t>；</w:t>
            </w:r>
            <w:r>
              <w:rPr>
                <w:rFonts w:hint="eastAsia" w:ascii="宋体" w:hAnsi="宋体" w:eastAsia="宋体" w:cs="宋体"/>
                <w:kern w:val="0"/>
                <w:sz w:val="20"/>
                <w:szCs w:val="20"/>
                <w:lang w:val="en-US" w:eastAsia="zh-CN"/>
              </w:rPr>
              <w:t>且本科阶段</w:t>
            </w:r>
            <w:r>
              <w:rPr>
                <w:rFonts w:hint="eastAsia" w:ascii="宋体" w:hAnsi="宋体" w:eastAsia="宋体" w:cs="宋体"/>
                <w:kern w:val="0"/>
                <w:sz w:val="20"/>
                <w:szCs w:val="20"/>
              </w:rPr>
              <w:t>毕业院校应具备</w:t>
            </w:r>
            <w:r>
              <w:rPr>
                <w:rFonts w:hint="eastAsia" w:ascii="宋体" w:hAnsi="宋体" w:eastAsia="宋体" w:cs="宋体"/>
                <w:kern w:val="0"/>
                <w:sz w:val="20"/>
                <w:szCs w:val="20"/>
                <w:lang w:val="en-US" w:eastAsia="zh-CN"/>
              </w:rPr>
              <w:t>以下</w:t>
            </w:r>
            <w:r>
              <w:rPr>
                <w:rFonts w:hint="eastAsia" w:ascii="宋体" w:hAnsi="宋体" w:eastAsia="宋体" w:cs="宋体"/>
                <w:kern w:val="0"/>
                <w:sz w:val="20"/>
                <w:szCs w:val="20"/>
              </w:rPr>
              <w:t>条件之一：</w:t>
            </w:r>
            <w:r>
              <w:rPr>
                <w:rFonts w:hint="eastAsia" w:ascii="宋体" w:hAnsi="宋体" w:eastAsia="宋体" w:cs="宋体"/>
                <w:kern w:val="0"/>
                <w:sz w:val="20"/>
                <w:szCs w:val="20"/>
              </w:rPr>
              <w:br w:type="textWrapping"/>
            </w:r>
            <w:r>
              <w:rPr>
                <w:rFonts w:ascii="宋体" w:hAnsi="宋体" w:eastAsia="宋体" w:cs="宋体"/>
                <w:kern w:val="0"/>
                <w:sz w:val="20"/>
                <w:szCs w:val="20"/>
              </w:rPr>
              <w:t>①</w:t>
            </w:r>
            <w:r>
              <w:rPr>
                <w:rFonts w:hint="eastAsia" w:ascii="宋体" w:hAnsi="宋体" w:eastAsia="宋体" w:cs="宋体"/>
                <w:kern w:val="0"/>
                <w:sz w:val="20"/>
                <w:szCs w:val="20"/>
              </w:rPr>
              <w:t>第一轮“一流大学”建设高校；</w:t>
            </w:r>
            <w:r>
              <w:rPr>
                <w:rFonts w:hint="eastAsia" w:ascii="宋体" w:hAnsi="宋体" w:eastAsia="宋体" w:cs="宋体"/>
                <w:kern w:val="0"/>
                <w:sz w:val="20"/>
                <w:szCs w:val="20"/>
              </w:rPr>
              <w:br w:type="textWrapping"/>
            </w:r>
            <w:r>
              <w:rPr>
                <w:rFonts w:ascii="宋体" w:hAnsi="宋体" w:eastAsia="宋体" w:cs="宋体"/>
                <w:kern w:val="0"/>
                <w:sz w:val="20"/>
                <w:szCs w:val="20"/>
              </w:rPr>
              <w:t>②</w:t>
            </w:r>
            <w:r>
              <w:rPr>
                <w:rFonts w:hint="eastAsia" w:ascii="宋体" w:hAnsi="宋体" w:eastAsia="宋体" w:cs="宋体"/>
                <w:kern w:val="0"/>
                <w:sz w:val="20"/>
                <w:szCs w:val="20"/>
              </w:rPr>
              <w:t>最新世界大学排名榜单（</w:t>
            </w:r>
            <w:r>
              <w:rPr>
                <w:rFonts w:hint="eastAsia" w:ascii="Times New Roman" w:hAnsi="Times New Roman" w:eastAsia="宋体" w:cs="宋体"/>
                <w:kern w:val="0"/>
                <w:sz w:val="20"/>
                <w:szCs w:val="20"/>
              </w:rPr>
              <w:t>QS</w:t>
            </w:r>
            <w:r>
              <w:rPr>
                <w:rFonts w:hint="eastAsia" w:ascii="宋体" w:hAnsi="宋体" w:eastAsia="宋体" w:cs="宋体"/>
                <w:kern w:val="0"/>
                <w:sz w:val="20"/>
                <w:szCs w:val="20"/>
              </w:rPr>
              <w:t>、</w:t>
            </w:r>
            <w:r>
              <w:rPr>
                <w:rFonts w:hint="eastAsia" w:ascii="Times New Roman" w:hAnsi="Times New Roman" w:eastAsia="宋体" w:cs="宋体"/>
                <w:kern w:val="0"/>
                <w:sz w:val="20"/>
                <w:szCs w:val="20"/>
              </w:rPr>
              <w:t>THE</w:t>
            </w:r>
            <w:r>
              <w:rPr>
                <w:rFonts w:hint="eastAsia" w:ascii="宋体" w:hAnsi="宋体" w:eastAsia="宋体" w:cs="宋体"/>
                <w:kern w:val="0"/>
                <w:sz w:val="20"/>
                <w:szCs w:val="20"/>
              </w:rPr>
              <w:t>、</w:t>
            </w:r>
            <w:r>
              <w:rPr>
                <w:rFonts w:hint="eastAsia" w:ascii="Times New Roman" w:hAnsi="Times New Roman" w:eastAsia="宋体" w:cs="宋体"/>
                <w:kern w:val="0"/>
                <w:sz w:val="20"/>
                <w:szCs w:val="20"/>
              </w:rPr>
              <w:t>U</w:t>
            </w:r>
            <w:r>
              <w:rPr>
                <w:rFonts w:hint="eastAsia" w:ascii="宋体" w:hAnsi="宋体" w:eastAsia="宋体" w:cs="宋体"/>
                <w:kern w:val="0"/>
                <w:sz w:val="20"/>
                <w:szCs w:val="20"/>
              </w:rPr>
              <w:t>.</w:t>
            </w:r>
            <w:r>
              <w:rPr>
                <w:rFonts w:hint="eastAsia" w:ascii="Times New Roman" w:hAnsi="Times New Roman" w:eastAsia="宋体" w:cs="宋体"/>
                <w:kern w:val="0"/>
                <w:sz w:val="20"/>
                <w:szCs w:val="20"/>
              </w:rPr>
              <w:t>S</w:t>
            </w:r>
            <w:r>
              <w:rPr>
                <w:rFonts w:hint="eastAsia" w:ascii="宋体" w:hAnsi="宋体" w:eastAsia="宋体" w:cs="宋体"/>
                <w:kern w:val="0"/>
                <w:sz w:val="20"/>
                <w:szCs w:val="20"/>
              </w:rPr>
              <w:t>.</w:t>
            </w:r>
            <w:r>
              <w:rPr>
                <w:rFonts w:hint="eastAsia" w:ascii="Times New Roman" w:hAnsi="Times New Roman" w:eastAsia="宋体" w:cs="宋体"/>
                <w:kern w:val="0"/>
                <w:sz w:val="20"/>
                <w:szCs w:val="20"/>
              </w:rPr>
              <w:t>NEWS</w:t>
            </w:r>
            <w:r>
              <w:rPr>
                <w:rFonts w:hint="eastAsia" w:ascii="宋体" w:hAnsi="宋体" w:eastAsia="宋体" w:cs="宋体"/>
                <w:kern w:val="0"/>
                <w:sz w:val="20"/>
                <w:szCs w:val="20"/>
              </w:rPr>
              <w:t>、</w:t>
            </w:r>
            <w:r>
              <w:rPr>
                <w:rFonts w:hint="eastAsia" w:ascii="Times New Roman" w:hAnsi="Times New Roman" w:eastAsia="宋体" w:cs="宋体"/>
                <w:kern w:val="0"/>
                <w:sz w:val="20"/>
                <w:szCs w:val="20"/>
              </w:rPr>
              <w:t>ARWU</w:t>
            </w:r>
            <w:r>
              <w:rPr>
                <w:rFonts w:hint="eastAsia" w:ascii="宋体" w:hAnsi="宋体" w:eastAsia="宋体" w:cs="宋体"/>
                <w:kern w:val="0"/>
                <w:sz w:val="20"/>
                <w:szCs w:val="20"/>
              </w:rPr>
              <w:t>、</w:t>
            </w:r>
            <w:r>
              <w:rPr>
                <w:rFonts w:hint="eastAsia" w:ascii="Times New Roman" w:hAnsi="Times New Roman" w:eastAsia="宋体" w:cs="宋体"/>
                <w:kern w:val="0"/>
                <w:sz w:val="20"/>
                <w:szCs w:val="20"/>
              </w:rPr>
              <w:t>CWUR</w:t>
            </w:r>
            <w:r>
              <w:rPr>
                <w:rFonts w:hint="eastAsia" w:ascii="宋体" w:hAnsi="宋体" w:eastAsia="宋体" w:cs="宋体"/>
                <w:kern w:val="0"/>
                <w:sz w:val="20"/>
                <w:szCs w:val="20"/>
              </w:rPr>
              <w:t>）前</w:t>
            </w:r>
            <w:r>
              <w:rPr>
                <w:rFonts w:hint="eastAsia" w:ascii="Times New Roman" w:hAnsi="Times New Roman" w:eastAsia="宋体" w:cs="宋体"/>
                <w:kern w:val="0"/>
                <w:sz w:val="20"/>
                <w:szCs w:val="20"/>
              </w:rPr>
              <w:t>100</w:t>
            </w:r>
            <w:r>
              <w:rPr>
                <w:rFonts w:hint="eastAsia" w:ascii="宋体" w:hAnsi="宋体" w:eastAsia="宋体" w:cs="宋体"/>
                <w:kern w:val="0"/>
                <w:sz w:val="20"/>
                <w:szCs w:val="20"/>
              </w:rPr>
              <w:t>名国（境）外高校；</w:t>
            </w:r>
            <w:r>
              <w:rPr>
                <w:rFonts w:hint="eastAsia" w:ascii="宋体" w:hAnsi="宋体" w:eastAsia="宋体" w:cs="宋体"/>
                <w:kern w:val="0"/>
                <w:sz w:val="20"/>
                <w:szCs w:val="20"/>
              </w:rPr>
              <w:br w:type="textWrapping"/>
            </w:r>
            <w:r>
              <w:rPr>
                <w:rFonts w:ascii="宋体" w:hAnsi="宋体" w:eastAsia="宋体" w:cs="宋体"/>
                <w:kern w:val="0"/>
                <w:sz w:val="20"/>
                <w:szCs w:val="20"/>
              </w:rPr>
              <w:t>③</w:t>
            </w:r>
            <w:r>
              <w:rPr>
                <w:rFonts w:hint="eastAsia" w:ascii="宋体" w:hAnsi="宋体" w:eastAsia="宋体" w:cs="宋体"/>
                <w:kern w:val="0"/>
                <w:sz w:val="20"/>
                <w:szCs w:val="20"/>
              </w:rPr>
              <w:t>第二轮“双一流”建设高校。</w:t>
            </w:r>
          </w:p>
          <w:p>
            <w:pPr>
              <w:widowControl/>
              <w:spacing w:line="240" w:lineRule="exact"/>
              <w:rPr>
                <w:rFonts w:hint="eastAsia" w:ascii="宋体" w:hAnsi="宋体" w:eastAsia="宋体" w:cs="宋体"/>
                <w:kern w:val="0"/>
                <w:sz w:val="20"/>
                <w:szCs w:val="20"/>
                <w:lang w:eastAsia="zh-CN"/>
              </w:rPr>
            </w:pPr>
            <w:r>
              <w:rPr>
                <w:rFonts w:hint="eastAsia" w:ascii="宋体" w:hAnsi="宋体" w:eastAsia="宋体" w:cs="宋体"/>
                <w:kern w:val="0"/>
                <w:sz w:val="20"/>
                <w:szCs w:val="20"/>
                <w:lang w:val="en-US" w:eastAsia="zh-CN"/>
              </w:rPr>
              <w:t>2.本科生毕业院校须为</w:t>
            </w:r>
            <w:r>
              <w:rPr>
                <w:rFonts w:ascii="Times New Roman" w:hAnsi="Times New Roman" w:eastAsia="宋体" w:cs="Times New Roman"/>
                <w:kern w:val="0"/>
                <w:sz w:val="20"/>
                <w:szCs w:val="20"/>
              </w:rPr>
              <w:t>C9</w:t>
            </w:r>
            <w:r>
              <w:rPr>
                <w:rFonts w:hint="eastAsia" w:ascii="宋体" w:hAnsi="宋体" w:eastAsia="宋体" w:cs="Times New Roman"/>
                <w:kern w:val="0"/>
                <w:sz w:val="20"/>
                <w:szCs w:val="20"/>
              </w:rPr>
              <w:t>重点高校</w:t>
            </w:r>
            <w:r>
              <w:rPr>
                <w:rFonts w:hint="eastAsia" w:ascii="宋体" w:hAnsi="宋体" w:eastAsia="宋体" w:cs="Times New Roman"/>
                <w:kern w:val="0"/>
                <w:sz w:val="20"/>
                <w:szCs w:val="20"/>
                <w:lang w:eastAsia="zh-CN"/>
              </w:rPr>
              <w:t>。</w:t>
            </w:r>
          </w:p>
          <w:p>
            <w:pPr>
              <w:widowControl/>
              <w:numPr>
                <w:ilvl w:val="0"/>
                <w:numId w:val="0"/>
              </w:numPr>
              <w:spacing w:line="240" w:lineRule="exact"/>
              <w:rPr>
                <w:rFonts w:hint="default" w:ascii="宋体" w:hAnsi="宋体" w:eastAsia="宋体" w:cs="宋体"/>
                <w:kern w:val="0"/>
                <w:sz w:val="20"/>
                <w:szCs w:val="20"/>
                <w:lang w:val="en-US" w:eastAsia="zh-CN"/>
              </w:rPr>
            </w:pPr>
          </w:p>
          <w:p>
            <w:pPr>
              <w:widowControl/>
              <w:numPr>
                <w:ilvl w:val="0"/>
                <w:numId w:val="0"/>
              </w:numPr>
              <w:spacing w:line="240" w:lineRule="exact"/>
              <w:rPr>
                <w:rFonts w:hint="eastAsia" w:ascii="宋体" w:hAnsi="宋体" w:eastAsia="宋体" w:cs="宋体"/>
                <w:kern w:val="0"/>
                <w:sz w:val="20"/>
                <w:szCs w:val="20"/>
              </w:rPr>
            </w:pPr>
          </w:p>
        </w:tc>
        <w:tc>
          <w:tcPr>
            <w:tcW w:w="345" w:type="pct"/>
            <w:vMerge w:val="restart"/>
            <w:shd w:val="clear" w:color="auto" w:fill="auto"/>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报名网址：www.tzjob.com</w:t>
            </w:r>
            <w:r>
              <w:rPr>
                <w:rFonts w:hint="default" w:ascii="Times New Roman" w:hAnsi="Times New Roman" w:eastAsia="宋体" w:cs="Times New Roman"/>
                <w:kern w:val="0"/>
                <w:sz w:val="20"/>
                <w:szCs w:val="20"/>
              </w:rPr>
              <w:br w:type="textWrapping"/>
            </w:r>
            <w:r>
              <w:rPr>
                <w:rFonts w:hint="default" w:ascii="Times New Roman" w:hAnsi="Times New Roman" w:eastAsia="宋体" w:cs="Times New Roman"/>
                <w:kern w:val="0"/>
                <w:sz w:val="20"/>
                <w:szCs w:val="20"/>
              </w:rPr>
              <w:t>电子邮箱：tzswzzbghb@163.com</w:t>
            </w:r>
            <w:r>
              <w:rPr>
                <w:rFonts w:hint="default" w:ascii="Times New Roman" w:hAnsi="Times New Roman" w:eastAsia="宋体" w:cs="Times New Roman"/>
                <w:kern w:val="0"/>
                <w:sz w:val="20"/>
                <w:szCs w:val="20"/>
              </w:rPr>
              <w:br w:type="textWrapping"/>
            </w:r>
            <w:r>
              <w:rPr>
                <w:rFonts w:hint="default" w:ascii="Times New Roman" w:hAnsi="Times New Roman" w:eastAsia="宋体" w:cs="Times New Roman"/>
                <w:kern w:val="0"/>
                <w:sz w:val="20"/>
                <w:szCs w:val="20"/>
              </w:rPr>
              <w:t>咨询电话：0523-86886632、86886269</w:t>
            </w:r>
          </w:p>
        </w:tc>
        <w:tc>
          <w:tcPr>
            <w:tcW w:w="183" w:type="pct"/>
            <w:vMerge w:val="restar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Times New Roman" w:hAnsi="Times New Roman" w:eastAsia="宋体" w:cs="宋体"/>
                <w:kern w:val="0"/>
                <w:sz w:val="20"/>
                <w:szCs w:val="20"/>
              </w:rPr>
              <w:t>2</w:t>
            </w:r>
          </w:p>
        </w:tc>
        <w:tc>
          <w:tcPr>
            <w:tcW w:w="267" w:type="pct"/>
            <w:vMerge w:val="restart"/>
            <w:shd w:val="clear" w:color="auto" w:fill="auto"/>
            <w:tcMar>
              <w:top w:w="28" w:type="dxa"/>
              <w:left w:w="57" w:type="dxa"/>
              <w:bottom w:w="28" w:type="dxa"/>
              <w:right w:w="57" w:type="dxa"/>
            </w:tcMar>
            <w:vAlign w:val="center"/>
          </w:tcPr>
          <w:p>
            <w:pPr>
              <w:widowControl/>
              <w:spacing w:line="240" w:lineRule="exact"/>
              <w:rPr>
                <w:rFonts w:ascii="宋体" w:hAnsi="宋体" w:eastAsia="宋体" w:cs="宋体"/>
                <w:kern w:val="0"/>
                <w:sz w:val="20"/>
                <w:szCs w:val="20"/>
              </w:rPr>
            </w:pPr>
            <w:r>
              <w:rPr>
                <w:rFonts w:hint="eastAsia" w:ascii="宋体" w:hAnsi="宋体" w:eastAsia="宋体" w:cs="宋体"/>
                <w:kern w:val="0"/>
                <w:sz w:val="20"/>
                <w:szCs w:val="20"/>
              </w:rPr>
              <w:t>结构化面谈+无领导小组讨论</w:t>
            </w:r>
          </w:p>
        </w:tc>
        <w:tc>
          <w:tcPr>
            <w:tcW w:w="582" w:type="pct"/>
            <w:vMerge w:val="restart"/>
            <w:shd w:val="clear" w:color="auto" w:fill="auto"/>
            <w:tcMar>
              <w:top w:w="28" w:type="dxa"/>
              <w:left w:w="57" w:type="dxa"/>
              <w:bottom w:w="28" w:type="dxa"/>
              <w:right w:w="57" w:type="dxa"/>
            </w:tcMar>
            <w:vAlign w:val="center"/>
          </w:tcPr>
          <w:p>
            <w:pPr>
              <w:widowControl/>
              <w:numPr>
                <w:ilvl w:val="0"/>
                <w:numId w:val="0"/>
              </w:numPr>
              <w:spacing w:line="240" w:lineRule="exact"/>
              <w:rPr>
                <w:rFonts w:ascii="Times New Roman" w:hAnsi="Times New Roman" w:eastAsia="宋体" w:cs="Times New Roman"/>
                <w:kern w:val="0"/>
                <w:sz w:val="20"/>
                <w:szCs w:val="20"/>
              </w:rPr>
            </w:pPr>
            <w:r>
              <w:rPr>
                <w:rFonts w:hint="eastAsia" w:ascii="宋体" w:hAnsi="宋体" w:eastAsia="宋体" w:cs="Times New Roman"/>
                <w:kern w:val="0"/>
                <w:sz w:val="20"/>
                <w:szCs w:val="20"/>
                <w:lang w:val="en-US" w:eastAsia="zh-CN" w:bidi="ar-SA"/>
              </w:rPr>
              <w:t>1.</w:t>
            </w:r>
            <w:r>
              <w:rPr>
                <w:rFonts w:hint="eastAsia" w:ascii="宋体" w:hAnsi="宋体" w:eastAsia="宋体" w:cs="Times New Roman"/>
                <w:kern w:val="0"/>
                <w:sz w:val="20"/>
                <w:szCs w:val="20"/>
              </w:rPr>
              <w:t>试用期满考核合格、符合任职条件、表现优秀的</w:t>
            </w:r>
            <w:r>
              <w:rPr>
                <w:rFonts w:hint="eastAsia" w:ascii="宋体" w:hAnsi="宋体" w:eastAsia="宋体" w:cs="Times New Roman"/>
                <w:kern w:val="0"/>
                <w:sz w:val="20"/>
                <w:szCs w:val="20"/>
                <w:lang w:val="en-US" w:eastAsia="zh-CN"/>
              </w:rPr>
              <w:t>博士研究生</w:t>
            </w:r>
            <w:r>
              <w:rPr>
                <w:rFonts w:hint="eastAsia" w:ascii="宋体" w:hAnsi="宋体" w:eastAsia="宋体" w:cs="Times New Roman"/>
                <w:kern w:val="0"/>
                <w:sz w:val="20"/>
                <w:szCs w:val="20"/>
              </w:rPr>
              <w:t>择优聘</w:t>
            </w:r>
            <w:r>
              <w:rPr>
                <w:rFonts w:ascii="Times New Roman" w:hAnsi="Times New Roman" w:eastAsia="宋体" w:cs="Times New Roman"/>
                <w:kern w:val="0"/>
                <w:sz w:val="20"/>
                <w:szCs w:val="20"/>
              </w:rPr>
              <w:t>7</w:t>
            </w:r>
            <w:r>
              <w:rPr>
                <w:rFonts w:hint="eastAsia" w:ascii="宋体" w:hAnsi="宋体" w:eastAsia="宋体" w:cs="Times New Roman"/>
                <w:kern w:val="0"/>
                <w:sz w:val="20"/>
                <w:szCs w:val="20"/>
              </w:rPr>
              <w:t>级管理岗</w:t>
            </w:r>
            <w:r>
              <w:rPr>
                <w:rFonts w:hint="eastAsia" w:ascii="宋体" w:hAnsi="宋体" w:eastAsia="宋体" w:cs="Times New Roman"/>
                <w:kern w:val="0"/>
                <w:sz w:val="20"/>
                <w:szCs w:val="20"/>
                <w:lang w:eastAsia="zh-CN"/>
              </w:rPr>
              <w:t>、</w:t>
            </w:r>
            <w:r>
              <w:rPr>
                <w:rFonts w:hint="eastAsia" w:ascii="宋体" w:hAnsi="宋体" w:eastAsia="宋体" w:cs="Times New Roman"/>
                <w:kern w:val="0"/>
                <w:sz w:val="20"/>
                <w:szCs w:val="20"/>
                <w:lang w:val="en-US" w:eastAsia="zh-CN"/>
              </w:rPr>
              <w:t>硕士研究生择优聘8级管理岗</w:t>
            </w:r>
            <w:r>
              <w:rPr>
                <w:rFonts w:hint="eastAsia" w:ascii="宋体" w:hAnsi="宋体" w:eastAsia="宋体" w:cs="Times New Roman"/>
                <w:kern w:val="0"/>
                <w:sz w:val="20"/>
                <w:szCs w:val="20"/>
              </w:rPr>
              <w:t>。</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2.</w:t>
            </w:r>
            <w:r>
              <w:rPr>
                <w:rFonts w:hint="eastAsia" w:ascii="宋体" w:hAnsi="宋体" w:eastAsia="宋体" w:cs="Times New Roman"/>
                <w:kern w:val="0"/>
                <w:sz w:val="20"/>
                <w:szCs w:val="20"/>
              </w:rPr>
              <w:t>博士研究生发放</w:t>
            </w:r>
            <w:r>
              <w:rPr>
                <w:rFonts w:ascii="Times New Roman" w:hAnsi="Times New Roman" w:eastAsia="宋体" w:cs="Times New Roman"/>
                <w:kern w:val="0"/>
                <w:sz w:val="20"/>
                <w:szCs w:val="20"/>
              </w:rPr>
              <w:t>15</w:t>
            </w:r>
            <w:r>
              <w:rPr>
                <w:rFonts w:hint="eastAsia" w:ascii="宋体" w:hAnsi="宋体" w:eastAsia="宋体" w:cs="Times New Roman"/>
                <w:kern w:val="0"/>
                <w:sz w:val="20"/>
                <w:szCs w:val="20"/>
              </w:rPr>
              <w:t>万元安家补贴和为期</w:t>
            </w:r>
            <w:r>
              <w:rPr>
                <w:rFonts w:ascii="Times New Roman" w:hAnsi="Times New Roman" w:eastAsia="宋体" w:cs="Times New Roman"/>
                <w:kern w:val="0"/>
                <w:sz w:val="20"/>
                <w:szCs w:val="20"/>
              </w:rPr>
              <w:t>2</w:t>
            </w:r>
            <w:r>
              <w:rPr>
                <w:rFonts w:hint="eastAsia" w:ascii="宋体" w:hAnsi="宋体" w:eastAsia="宋体" w:cs="Times New Roman"/>
                <w:kern w:val="0"/>
                <w:sz w:val="20"/>
                <w:szCs w:val="20"/>
              </w:rPr>
              <w:t>年、</w:t>
            </w:r>
            <w:r>
              <w:rPr>
                <w:rFonts w:ascii="Times New Roman" w:hAnsi="Times New Roman" w:eastAsia="宋体" w:cs="Times New Roman"/>
                <w:kern w:val="0"/>
                <w:sz w:val="20"/>
                <w:szCs w:val="20"/>
              </w:rPr>
              <w:t>2</w:t>
            </w:r>
            <w:r>
              <w:rPr>
                <w:rFonts w:hint="eastAsia" w:ascii="宋体" w:hAnsi="宋体" w:eastAsia="宋体" w:cs="Times New Roman"/>
                <w:kern w:val="0"/>
                <w:sz w:val="20"/>
                <w:szCs w:val="20"/>
              </w:rPr>
              <w:t>万元</w:t>
            </w:r>
            <w:r>
              <w:rPr>
                <w:rFonts w:ascii="Times New Roman" w:hAnsi="Times New Roman" w:eastAsia="宋体" w:cs="Times New Roman"/>
                <w:kern w:val="0"/>
                <w:sz w:val="20"/>
                <w:szCs w:val="20"/>
              </w:rPr>
              <w:t>/</w:t>
            </w:r>
            <w:r>
              <w:rPr>
                <w:rFonts w:hint="eastAsia" w:ascii="宋体" w:hAnsi="宋体" w:eastAsia="宋体" w:cs="Times New Roman"/>
                <w:kern w:val="0"/>
                <w:sz w:val="20"/>
                <w:szCs w:val="20"/>
              </w:rPr>
              <w:t>年的生活补贴，硕士研究生发放</w:t>
            </w:r>
            <w:r>
              <w:rPr>
                <w:rFonts w:ascii="Times New Roman" w:hAnsi="Times New Roman" w:eastAsia="宋体" w:cs="Times New Roman"/>
                <w:kern w:val="0"/>
                <w:sz w:val="20"/>
                <w:szCs w:val="20"/>
              </w:rPr>
              <w:t>6</w:t>
            </w:r>
            <w:r>
              <w:rPr>
                <w:rFonts w:hint="eastAsia" w:ascii="宋体" w:hAnsi="宋体" w:eastAsia="宋体" w:cs="Times New Roman"/>
                <w:kern w:val="0"/>
                <w:sz w:val="20"/>
                <w:szCs w:val="20"/>
              </w:rPr>
              <w:t>万元安家补贴和为期</w:t>
            </w:r>
            <w:r>
              <w:rPr>
                <w:rFonts w:ascii="Times New Roman" w:hAnsi="Times New Roman" w:eastAsia="宋体" w:cs="Times New Roman"/>
                <w:kern w:val="0"/>
                <w:sz w:val="20"/>
                <w:szCs w:val="20"/>
              </w:rPr>
              <w:t>3</w:t>
            </w:r>
            <w:r>
              <w:rPr>
                <w:rFonts w:hint="eastAsia" w:ascii="宋体" w:hAnsi="宋体" w:eastAsia="宋体" w:cs="Times New Roman"/>
                <w:kern w:val="0"/>
                <w:sz w:val="20"/>
                <w:szCs w:val="20"/>
              </w:rPr>
              <w:t>年、</w:t>
            </w:r>
            <w:r>
              <w:rPr>
                <w:rFonts w:ascii="Times New Roman" w:hAnsi="Times New Roman" w:eastAsia="宋体" w:cs="Times New Roman"/>
                <w:kern w:val="0"/>
                <w:sz w:val="20"/>
                <w:szCs w:val="20"/>
              </w:rPr>
              <w:t>1</w:t>
            </w:r>
            <w:r>
              <w:rPr>
                <w:rFonts w:hint="eastAsia" w:ascii="宋体" w:hAnsi="宋体" w:eastAsia="宋体" w:cs="Times New Roman"/>
                <w:kern w:val="0"/>
                <w:sz w:val="20"/>
                <w:szCs w:val="20"/>
              </w:rPr>
              <w:t>万元</w:t>
            </w:r>
            <w:r>
              <w:rPr>
                <w:rFonts w:ascii="Times New Roman" w:hAnsi="Times New Roman" w:eastAsia="宋体" w:cs="Times New Roman"/>
                <w:kern w:val="0"/>
                <w:sz w:val="20"/>
                <w:szCs w:val="20"/>
              </w:rPr>
              <w:t>/</w:t>
            </w:r>
            <w:r>
              <w:rPr>
                <w:rFonts w:hint="eastAsia" w:ascii="宋体" w:hAnsi="宋体" w:eastAsia="宋体" w:cs="Times New Roman"/>
                <w:kern w:val="0"/>
                <w:sz w:val="20"/>
                <w:szCs w:val="20"/>
              </w:rPr>
              <w:t>年的生活补贴</w:t>
            </w:r>
            <w:r>
              <w:rPr>
                <w:rFonts w:hint="eastAsia" w:ascii="宋体" w:hAnsi="宋体" w:eastAsia="宋体" w:cs="Times New Roman"/>
                <w:kern w:val="0"/>
                <w:sz w:val="20"/>
                <w:szCs w:val="20"/>
                <w:lang w:eastAsia="zh-CN"/>
              </w:rPr>
              <w:t>（</w:t>
            </w:r>
            <w:r>
              <w:rPr>
                <w:rFonts w:hint="eastAsia" w:ascii="宋体" w:hAnsi="宋体" w:eastAsia="宋体" w:cs="Times New Roman"/>
                <w:kern w:val="0"/>
                <w:sz w:val="20"/>
                <w:szCs w:val="20"/>
                <w:lang w:val="en-US" w:eastAsia="zh-CN"/>
              </w:rPr>
              <w:t>C9本科生参照硕士研究生补贴标准执行</w:t>
            </w:r>
            <w:r>
              <w:rPr>
                <w:rFonts w:hint="eastAsia" w:ascii="宋体" w:hAnsi="宋体" w:eastAsia="宋体" w:cs="Times New Roman"/>
                <w:kern w:val="0"/>
                <w:sz w:val="20"/>
                <w:szCs w:val="20"/>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021" w:hRule="atLeast"/>
          <w:jc w:val="center"/>
        </w:trPr>
        <w:tc>
          <w:tcPr>
            <w:tcW w:w="300"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泰州市</w:t>
            </w:r>
          </w:p>
        </w:tc>
        <w:tc>
          <w:tcPr>
            <w:tcW w:w="191"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1A</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泰州市</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青年人才储备中心</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综合类</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（女生）</w:t>
            </w:r>
          </w:p>
        </w:tc>
        <w:tc>
          <w:tcPr>
            <w:tcW w:w="228"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1A-2</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10</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硕士研究生及以上或C9本科</w:t>
            </w:r>
          </w:p>
        </w:tc>
        <w:tc>
          <w:tcPr>
            <w:tcW w:w="912"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不限</w:t>
            </w:r>
          </w:p>
        </w:tc>
        <w:tc>
          <w:tcPr>
            <w:tcW w:w="846"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345" w:type="pct"/>
            <w:vMerge w:val="continue"/>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kern w:val="0"/>
                <w:sz w:val="20"/>
                <w:szCs w:val="20"/>
              </w:rPr>
            </w:pPr>
          </w:p>
        </w:tc>
        <w:tc>
          <w:tcPr>
            <w:tcW w:w="183"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267"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582" w:type="pct"/>
            <w:vMerge w:val="continue"/>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021" w:hRule="atLeast"/>
          <w:jc w:val="center"/>
        </w:trPr>
        <w:tc>
          <w:tcPr>
            <w:tcW w:w="300"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泰州市</w:t>
            </w:r>
          </w:p>
        </w:tc>
        <w:tc>
          <w:tcPr>
            <w:tcW w:w="191"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1A</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泰州市</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青年人才储备中心</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城建</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规划类</w:t>
            </w:r>
          </w:p>
        </w:tc>
        <w:tc>
          <w:tcPr>
            <w:tcW w:w="228"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1A-3</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5</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硕士研究生及以上或C9本科</w:t>
            </w:r>
          </w:p>
        </w:tc>
        <w:tc>
          <w:tcPr>
            <w:tcW w:w="912" w:type="pct"/>
            <w:shd w:val="clear" w:color="auto" w:fill="auto"/>
            <w:tcMar>
              <w:top w:w="28" w:type="dxa"/>
              <w:left w:w="57" w:type="dxa"/>
              <w:bottom w:w="28" w:type="dxa"/>
              <w:right w:w="57" w:type="dxa"/>
            </w:tcMar>
            <w:vAlign w:val="center"/>
          </w:tcPr>
          <w:p>
            <w:pPr>
              <w:widowControl/>
              <w:spacing w:line="240" w:lineRule="exact"/>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城建规划类</w:t>
            </w:r>
          </w:p>
        </w:tc>
        <w:tc>
          <w:tcPr>
            <w:tcW w:w="846"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345" w:type="pct"/>
            <w:vMerge w:val="continue"/>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kern w:val="0"/>
                <w:sz w:val="20"/>
                <w:szCs w:val="20"/>
              </w:rPr>
            </w:pPr>
          </w:p>
        </w:tc>
        <w:tc>
          <w:tcPr>
            <w:tcW w:w="183"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267"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582" w:type="pct"/>
            <w:vMerge w:val="continue"/>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273" w:hRule="atLeast"/>
          <w:jc w:val="center"/>
        </w:trPr>
        <w:tc>
          <w:tcPr>
            <w:tcW w:w="300"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泰州市</w:t>
            </w:r>
          </w:p>
        </w:tc>
        <w:tc>
          <w:tcPr>
            <w:tcW w:w="191"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1A</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泰州市</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青年人才储备中心</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经济类</w:t>
            </w:r>
          </w:p>
        </w:tc>
        <w:tc>
          <w:tcPr>
            <w:tcW w:w="228"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1A-4</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hint="eastAsia" w:ascii="Times New Roman" w:hAnsi="Times New Roman" w:eastAsia="宋体" w:cs="Times New Roman"/>
                <w:kern w:val="0"/>
                <w:sz w:val="20"/>
                <w:szCs w:val="20"/>
                <w:lang w:eastAsia="zh-CN"/>
              </w:rPr>
            </w:pPr>
            <w:r>
              <w:rPr>
                <w:rFonts w:hint="eastAsia" w:ascii="Times New Roman" w:hAnsi="Times New Roman" w:eastAsia="宋体" w:cs="Times New Roman"/>
                <w:kern w:val="0"/>
                <w:sz w:val="20"/>
                <w:szCs w:val="20"/>
                <w:lang w:val="en-US" w:eastAsia="zh-CN"/>
              </w:rPr>
              <w:t>5</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硕士研究生及以上或C9本科</w:t>
            </w:r>
          </w:p>
        </w:tc>
        <w:tc>
          <w:tcPr>
            <w:tcW w:w="912" w:type="pct"/>
            <w:shd w:val="clear" w:color="auto" w:fill="auto"/>
            <w:tcMar>
              <w:top w:w="28" w:type="dxa"/>
              <w:left w:w="57" w:type="dxa"/>
              <w:bottom w:w="28" w:type="dxa"/>
              <w:right w:w="57" w:type="dxa"/>
            </w:tcMar>
            <w:vAlign w:val="center"/>
          </w:tcPr>
          <w:p>
            <w:pPr>
              <w:widowControl/>
              <w:spacing w:line="240" w:lineRule="exact"/>
              <w:jc w:val="center"/>
              <w:rPr>
                <w:rFonts w:hint="eastAsia" w:ascii="Times New Roman" w:hAnsi="Times New Roman" w:eastAsia="宋体" w:cs="Times New Roman"/>
                <w:kern w:val="0"/>
                <w:sz w:val="20"/>
                <w:szCs w:val="20"/>
                <w:lang w:eastAsia="zh-CN"/>
              </w:rPr>
            </w:pPr>
            <w:r>
              <w:rPr>
                <w:rFonts w:hint="eastAsia" w:ascii="宋体" w:hAnsi="宋体" w:eastAsia="宋体" w:cs="Times New Roman"/>
                <w:kern w:val="0"/>
                <w:sz w:val="20"/>
                <w:szCs w:val="20"/>
                <w:lang w:val="en-US" w:eastAsia="zh-CN"/>
              </w:rPr>
              <w:t>经济类</w:t>
            </w:r>
          </w:p>
        </w:tc>
        <w:tc>
          <w:tcPr>
            <w:tcW w:w="846"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345" w:type="pct"/>
            <w:vMerge w:val="continue"/>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kern w:val="0"/>
                <w:sz w:val="20"/>
                <w:szCs w:val="20"/>
              </w:rPr>
            </w:pPr>
          </w:p>
        </w:tc>
        <w:tc>
          <w:tcPr>
            <w:tcW w:w="183"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267"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582" w:type="pct"/>
            <w:vMerge w:val="continue"/>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021" w:hRule="atLeast"/>
          <w:jc w:val="center"/>
        </w:trPr>
        <w:tc>
          <w:tcPr>
            <w:tcW w:w="300"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泰州市</w:t>
            </w:r>
          </w:p>
        </w:tc>
        <w:tc>
          <w:tcPr>
            <w:tcW w:w="191"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1A</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泰州市</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青年人才储备中心</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计算机（网络管理）类</w:t>
            </w:r>
          </w:p>
        </w:tc>
        <w:tc>
          <w:tcPr>
            <w:tcW w:w="228"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1A-5</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hint="eastAsia" w:ascii="Times New Roman" w:hAnsi="Times New Roman" w:eastAsia="宋体" w:cs="Times New Roman"/>
                <w:kern w:val="0"/>
                <w:sz w:val="20"/>
                <w:szCs w:val="20"/>
                <w:lang w:eastAsia="zh-CN"/>
              </w:rPr>
            </w:pPr>
            <w:r>
              <w:rPr>
                <w:rFonts w:hint="eastAsia" w:ascii="Times New Roman" w:hAnsi="Times New Roman" w:eastAsia="宋体" w:cs="Times New Roman"/>
                <w:kern w:val="0"/>
                <w:sz w:val="20"/>
                <w:szCs w:val="20"/>
                <w:lang w:val="en-US" w:eastAsia="zh-CN"/>
              </w:rPr>
              <w:t>5</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硕士研究生及以上或C9本科</w:t>
            </w:r>
          </w:p>
        </w:tc>
        <w:tc>
          <w:tcPr>
            <w:tcW w:w="912" w:type="pct"/>
            <w:shd w:val="clear" w:color="auto" w:fill="auto"/>
            <w:tcMar>
              <w:top w:w="28" w:type="dxa"/>
              <w:left w:w="57" w:type="dxa"/>
              <w:bottom w:w="28" w:type="dxa"/>
              <w:right w:w="57" w:type="dxa"/>
            </w:tcMar>
            <w:vAlign w:val="center"/>
          </w:tcPr>
          <w:p>
            <w:pPr>
              <w:widowControl/>
              <w:spacing w:line="240" w:lineRule="exact"/>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计算机（网络管理）类</w:t>
            </w:r>
          </w:p>
        </w:tc>
        <w:tc>
          <w:tcPr>
            <w:tcW w:w="846"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345" w:type="pct"/>
            <w:vMerge w:val="continue"/>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kern w:val="0"/>
                <w:sz w:val="20"/>
                <w:szCs w:val="20"/>
              </w:rPr>
            </w:pPr>
          </w:p>
        </w:tc>
        <w:tc>
          <w:tcPr>
            <w:tcW w:w="183"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267"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582" w:type="pct"/>
            <w:vMerge w:val="continue"/>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021" w:hRule="atLeast"/>
          <w:jc w:val="center"/>
        </w:trPr>
        <w:tc>
          <w:tcPr>
            <w:tcW w:w="300"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泰州市</w:t>
            </w:r>
          </w:p>
        </w:tc>
        <w:tc>
          <w:tcPr>
            <w:tcW w:w="191"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1A</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泰州市</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青年人才储备中心</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法律类</w:t>
            </w:r>
          </w:p>
        </w:tc>
        <w:tc>
          <w:tcPr>
            <w:tcW w:w="228"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1A-6</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hint="eastAsia" w:ascii="Times New Roman" w:hAnsi="Times New Roman" w:eastAsia="宋体" w:cs="Times New Roman"/>
                <w:kern w:val="0"/>
                <w:sz w:val="20"/>
                <w:szCs w:val="20"/>
                <w:lang w:eastAsia="zh-CN"/>
              </w:rPr>
            </w:pPr>
            <w:r>
              <w:rPr>
                <w:rFonts w:hint="eastAsia" w:ascii="Times New Roman" w:hAnsi="Times New Roman" w:eastAsia="宋体" w:cs="Times New Roman"/>
                <w:kern w:val="0"/>
                <w:sz w:val="20"/>
                <w:szCs w:val="20"/>
                <w:lang w:val="en-US" w:eastAsia="zh-CN"/>
              </w:rPr>
              <w:t>5</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硕士研究生及以上或C9本科</w:t>
            </w:r>
          </w:p>
        </w:tc>
        <w:tc>
          <w:tcPr>
            <w:tcW w:w="912" w:type="pct"/>
            <w:shd w:val="clear" w:color="auto" w:fill="auto"/>
            <w:tcMar>
              <w:top w:w="28" w:type="dxa"/>
              <w:left w:w="57" w:type="dxa"/>
              <w:bottom w:w="28" w:type="dxa"/>
              <w:right w:w="57" w:type="dxa"/>
            </w:tcMar>
            <w:vAlign w:val="center"/>
          </w:tcPr>
          <w:p>
            <w:pPr>
              <w:widowControl/>
              <w:spacing w:line="240" w:lineRule="exact"/>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法律类</w:t>
            </w:r>
          </w:p>
        </w:tc>
        <w:tc>
          <w:tcPr>
            <w:tcW w:w="846"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345" w:type="pct"/>
            <w:vMerge w:val="continue"/>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kern w:val="0"/>
                <w:sz w:val="20"/>
                <w:szCs w:val="20"/>
              </w:rPr>
            </w:pPr>
          </w:p>
        </w:tc>
        <w:tc>
          <w:tcPr>
            <w:tcW w:w="183"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267"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582" w:type="pct"/>
            <w:vMerge w:val="continue"/>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961" w:hRule="atLeast"/>
          <w:jc w:val="center"/>
        </w:trPr>
        <w:tc>
          <w:tcPr>
            <w:tcW w:w="300"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靖江市</w:t>
            </w:r>
          </w:p>
        </w:tc>
        <w:tc>
          <w:tcPr>
            <w:tcW w:w="191"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2A</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靖江市</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青年人才储备中心</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综合类</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（男生）</w:t>
            </w:r>
          </w:p>
        </w:tc>
        <w:tc>
          <w:tcPr>
            <w:tcW w:w="228"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2A-1</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5</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本科</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及以上</w:t>
            </w:r>
          </w:p>
        </w:tc>
        <w:tc>
          <w:tcPr>
            <w:tcW w:w="912"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不限</w:t>
            </w:r>
          </w:p>
        </w:tc>
        <w:tc>
          <w:tcPr>
            <w:tcW w:w="846" w:type="pct"/>
            <w:vMerge w:val="restart"/>
            <w:shd w:val="clear" w:color="auto" w:fill="auto"/>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应具备以下条件之一：</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1.</w:t>
            </w:r>
            <w:r>
              <w:rPr>
                <w:rFonts w:hint="eastAsia" w:ascii="宋体" w:hAnsi="宋体" w:eastAsia="宋体" w:cs="宋体"/>
                <w:kern w:val="0"/>
                <w:sz w:val="20"/>
                <w:szCs w:val="20"/>
              </w:rPr>
              <w:t>第一轮</w:t>
            </w:r>
            <w:r>
              <w:rPr>
                <w:rFonts w:hint="eastAsia" w:ascii="Times New Roman" w:hAnsi="Times New Roman" w:eastAsia="宋体" w:cs="Times New Roman"/>
                <w:kern w:val="0"/>
                <w:sz w:val="20"/>
                <w:szCs w:val="20"/>
              </w:rPr>
              <w:t>“</w:t>
            </w:r>
            <w:r>
              <w:rPr>
                <w:rFonts w:hint="eastAsia" w:ascii="宋体" w:hAnsi="宋体" w:eastAsia="宋体" w:cs="宋体"/>
                <w:kern w:val="0"/>
                <w:sz w:val="20"/>
                <w:szCs w:val="20"/>
              </w:rPr>
              <w:t>一流大学</w:t>
            </w:r>
            <w:r>
              <w:rPr>
                <w:rFonts w:hint="eastAsia" w:ascii="Times New Roman" w:hAnsi="Times New Roman" w:eastAsia="宋体" w:cs="Times New Roman"/>
                <w:kern w:val="0"/>
                <w:sz w:val="20"/>
                <w:szCs w:val="20"/>
              </w:rPr>
              <w:t>”</w:t>
            </w:r>
            <w:r>
              <w:rPr>
                <w:rFonts w:hint="eastAsia" w:ascii="宋体" w:hAnsi="宋体" w:eastAsia="宋体" w:cs="宋体"/>
                <w:kern w:val="0"/>
                <w:sz w:val="20"/>
                <w:szCs w:val="20"/>
              </w:rPr>
              <w:t>建设高校全日制本科毕业生；</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2.</w:t>
            </w:r>
            <w:r>
              <w:rPr>
                <w:rFonts w:hint="eastAsia" w:ascii="宋体" w:hAnsi="宋体" w:eastAsia="宋体" w:cs="宋体"/>
                <w:kern w:val="0"/>
                <w:sz w:val="20"/>
                <w:szCs w:val="20"/>
              </w:rPr>
              <w:t>第一轮</w:t>
            </w:r>
            <w:r>
              <w:rPr>
                <w:rFonts w:hint="eastAsia" w:ascii="Times New Roman" w:hAnsi="Times New Roman" w:eastAsia="宋体" w:cs="Times New Roman"/>
                <w:kern w:val="0"/>
                <w:sz w:val="20"/>
                <w:szCs w:val="20"/>
              </w:rPr>
              <w:t>“</w:t>
            </w:r>
            <w:r>
              <w:rPr>
                <w:rFonts w:hint="eastAsia" w:ascii="宋体" w:hAnsi="宋体" w:eastAsia="宋体" w:cs="宋体"/>
                <w:kern w:val="0"/>
                <w:sz w:val="20"/>
                <w:szCs w:val="20"/>
              </w:rPr>
              <w:t>一流大学</w:t>
            </w:r>
            <w:r>
              <w:rPr>
                <w:rFonts w:hint="eastAsia" w:ascii="Times New Roman" w:hAnsi="Times New Roman" w:eastAsia="宋体" w:cs="Times New Roman"/>
                <w:kern w:val="0"/>
                <w:sz w:val="20"/>
                <w:szCs w:val="20"/>
              </w:rPr>
              <w:t>”</w:t>
            </w:r>
            <w:r>
              <w:rPr>
                <w:rFonts w:hint="eastAsia" w:ascii="宋体" w:hAnsi="宋体" w:eastAsia="宋体" w:cs="宋体"/>
                <w:kern w:val="0"/>
                <w:sz w:val="20"/>
                <w:szCs w:val="20"/>
              </w:rPr>
              <w:t>建设高校、第二轮</w:t>
            </w:r>
            <w:r>
              <w:rPr>
                <w:rFonts w:hint="eastAsia" w:ascii="Times New Roman" w:hAnsi="Times New Roman" w:eastAsia="宋体" w:cs="Times New Roman"/>
                <w:kern w:val="0"/>
                <w:sz w:val="20"/>
                <w:szCs w:val="20"/>
              </w:rPr>
              <w:t>“</w:t>
            </w:r>
            <w:r>
              <w:rPr>
                <w:rFonts w:hint="eastAsia" w:ascii="宋体" w:hAnsi="宋体" w:eastAsia="宋体" w:cs="宋体"/>
                <w:kern w:val="0"/>
                <w:sz w:val="20"/>
                <w:szCs w:val="20"/>
              </w:rPr>
              <w:t>双一流</w:t>
            </w:r>
            <w:r>
              <w:rPr>
                <w:rFonts w:hint="eastAsia" w:ascii="Times New Roman" w:hAnsi="Times New Roman" w:eastAsia="宋体" w:cs="Times New Roman"/>
                <w:kern w:val="0"/>
                <w:sz w:val="20"/>
                <w:szCs w:val="20"/>
              </w:rPr>
              <w:t>”</w:t>
            </w:r>
            <w:r>
              <w:rPr>
                <w:rFonts w:hint="eastAsia" w:ascii="宋体" w:hAnsi="宋体" w:eastAsia="宋体" w:cs="宋体"/>
                <w:kern w:val="0"/>
                <w:sz w:val="20"/>
                <w:szCs w:val="20"/>
              </w:rPr>
              <w:t>建设高校全日制硕士研究生及以上学历毕业生（本科须为第二轮</w:t>
            </w:r>
            <w:r>
              <w:rPr>
                <w:rFonts w:hint="eastAsia" w:ascii="Times New Roman" w:hAnsi="Times New Roman" w:eastAsia="宋体" w:cs="Times New Roman"/>
                <w:kern w:val="0"/>
                <w:sz w:val="20"/>
                <w:szCs w:val="20"/>
              </w:rPr>
              <w:t>“</w:t>
            </w:r>
            <w:r>
              <w:rPr>
                <w:rFonts w:hint="eastAsia" w:ascii="宋体" w:hAnsi="宋体" w:eastAsia="宋体" w:cs="宋体"/>
                <w:kern w:val="0"/>
                <w:sz w:val="20"/>
                <w:szCs w:val="20"/>
              </w:rPr>
              <w:t>双一流</w:t>
            </w:r>
            <w:r>
              <w:rPr>
                <w:rFonts w:hint="eastAsia" w:ascii="Times New Roman" w:hAnsi="Times New Roman" w:eastAsia="宋体" w:cs="Times New Roman"/>
                <w:kern w:val="0"/>
                <w:sz w:val="20"/>
                <w:szCs w:val="20"/>
              </w:rPr>
              <w:t>”</w:t>
            </w:r>
            <w:r>
              <w:rPr>
                <w:rFonts w:hint="eastAsia" w:ascii="宋体" w:hAnsi="宋体" w:eastAsia="宋体" w:cs="宋体"/>
                <w:kern w:val="0"/>
                <w:sz w:val="20"/>
                <w:szCs w:val="20"/>
              </w:rPr>
              <w:t>建设高校全日制毕业生）；</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3.</w:t>
            </w:r>
            <w:r>
              <w:rPr>
                <w:rFonts w:hint="eastAsia" w:ascii="宋体" w:hAnsi="宋体" w:eastAsia="宋体" w:cs="宋体"/>
                <w:kern w:val="0"/>
                <w:sz w:val="20"/>
                <w:szCs w:val="20"/>
              </w:rPr>
              <w:t>最新世界大学排名榜单（</w:t>
            </w:r>
            <w:r>
              <w:rPr>
                <w:rFonts w:ascii="Times New Roman" w:hAnsi="Times New Roman" w:eastAsia="宋体" w:cs="Times New Roman"/>
                <w:kern w:val="0"/>
                <w:sz w:val="20"/>
                <w:szCs w:val="20"/>
              </w:rPr>
              <w:t>QS</w:t>
            </w:r>
            <w:r>
              <w:rPr>
                <w:rFonts w:hint="eastAsia" w:ascii="宋体" w:hAnsi="宋体" w:eastAsia="宋体" w:cs="宋体"/>
                <w:kern w:val="0"/>
                <w:sz w:val="20"/>
                <w:szCs w:val="20"/>
              </w:rPr>
              <w:t>、</w:t>
            </w:r>
            <w:r>
              <w:rPr>
                <w:rFonts w:ascii="Times New Roman" w:hAnsi="Times New Roman" w:eastAsia="宋体" w:cs="Times New Roman"/>
                <w:kern w:val="0"/>
                <w:sz w:val="20"/>
                <w:szCs w:val="20"/>
              </w:rPr>
              <w:t>THE</w:t>
            </w:r>
            <w:r>
              <w:rPr>
                <w:rFonts w:hint="eastAsia" w:ascii="宋体" w:hAnsi="宋体" w:eastAsia="宋体" w:cs="宋体"/>
                <w:kern w:val="0"/>
                <w:sz w:val="20"/>
                <w:szCs w:val="20"/>
              </w:rPr>
              <w:t>、</w:t>
            </w:r>
            <w:r>
              <w:rPr>
                <w:rFonts w:ascii="Times New Roman" w:hAnsi="Times New Roman" w:eastAsia="宋体" w:cs="Times New Roman"/>
                <w:kern w:val="0"/>
                <w:sz w:val="20"/>
                <w:szCs w:val="20"/>
              </w:rPr>
              <w:t>U.S.NEWS</w:t>
            </w:r>
            <w:r>
              <w:rPr>
                <w:rFonts w:hint="eastAsia" w:ascii="宋体" w:hAnsi="宋体" w:eastAsia="宋体" w:cs="宋体"/>
                <w:kern w:val="0"/>
                <w:sz w:val="20"/>
                <w:szCs w:val="20"/>
              </w:rPr>
              <w:t>、</w:t>
            </w:r>
            <w:r>
              <w:rPr>
                <w:rFonts w:ascii="Times New Roman" w:hAnsi="Times New Roman" w:eastAsia="宋体" w:cs="Times New Roman"/>
                <w:kern w:val="0"/>
                <w:sz w:val="20"/>
                <w:szCs w:val="20"/>
              </w:rPr>
              <w:t>ARWU</w:t>
            </w:r>
            <w:r>
              <w:rPr>
                <w:rFonts w:hint="eastAsia" w:ascii="宋体" w:hAnsi="宋体" w:eastAsia="宋体" w:cs="宋体"/>
                <w:kern w:val="0"/>
                <w:sz w:val="20"/>
                <w:szCs w:val="20"/>
              </w:rPr>
              <w:t>、</w:t>
            </w:r>
            <w:r>
              <w:rPr>
                <w:rFonts w:ascii="Times New Roman" w:hAnsi="Times New Roman" w:eastAsia="宋体" w:cs="Times New Roman"/>
                <w:kern w:val="0"/>
                <w:sz w:val="20"/>
                <w:szCs w:val="20"/>
              </w:rPr>
              <w:t>CWUR</w:t>
            </w:r>
            <w:r>
              <w:rPr>
                <w:rFonts w:hint="eastAsia" w:ascii="宋体" w:hAnsi="宋体" w:eastAsia="宋体" w:cs="宋体"/>
                <w:kern w:val="0"/>
                <w:sz w:val="20"/>
                <w:szCs w:val="20"/>
              </w:rPr>
              <w:t>）前</w:t>
            </w:r>
            <w:r>
              <w:rPr>
                <w:rFonts w:ascii="Times New Roman" w:hAnsi="Times New Roman" w:eastAsia="宋体" w:cs="Times New Roman"/>
                <w:kern w:val="0"/>
                <w:sz w:val="20"/>
                <w:szCs w:val="20"/>
              </w:rPr>
              <w:t>100</w:t>
            </w:r>
            <w:r>
              <w:rPr>
                <w:rFonts w:hint="eastAsia" w:ascii="宋体" w:hAnsi="宋体" w:eastAsia="宋体" w:cs="宋体"/>
                <w:kern w:val="0"/>
                <w:sz w:val="20"/>
                <w:szCs w:val="20"/>
              </w:rPr>
              <w:t>名国（境）外高校的全日制硕士研究生及以上学历毕业生。（本科须为第二轮</w:t>
            </w:r>
            <w:r>
              <w:rPr>
                <w:rFonts w:hint="eastAsia" w:ascii="Times New Roman" w:hAnsi="Times New Roman" w:eastAsia="宋体" w:cs="Times New Roman"/>
                <w:kern w:val="0"/>
                <w:sz w:val="20"/>
                <w:szCs w:val="20"/>
              </w:rPr>
              <w:t>“</w:t>
            </w:r>
            <w:r>
              <w:rPr>
                <w:rFonts w:hint="eastAsia" w:ascii="宋体" w:hAnsi="宋体" w:eastAsia="宋体" w:cs="宋体"/>
                <w:kern w:val="0"/>
                <w:sz w:val="20"/>
                <w:szCs w:val="20"/>
              </w:rPr>
              <w:t>双一流</w:t>
            </w:r>
            <w:r>
              <w:rPr>
                <w:rFonts w:hint="eastAsia" w:ascii="Times New Roman" w:hAnsi="Times New Roman" w:eastAsia="宋体" w:cs="Times New Roman"/>
                <w:kern w:val="0"/>
                <w:sz w:val="20"/>
                <w:szCs w:val="20"/>
              </w:rPr>
              <w:t>”</w:t>
            </w:r>
            <w:r>
              <w:rPr>
                <w:rFonts w:hint="eastAsia" w:ascii="宋体" w:hAnsi="宋体" w:eastAsia="宋体" w:cs="宋体"/>
                <w:kern w:val="0"/>
                <w:sz w:val="20"/>
                <w:szCs w:val="20"/>
              </w:rPr>
              <w:t>建设高校全日制毕业生）。</w:t>
            </w:r>
          </w:p>
          <w:p>
            <w:pPr>
              <w:spacing w:line="240" w:lineRule="exact"/>
              <w:jc w:val="center"/>
              <w:rPr>
                <w:rFonts w:ascii="宋体" w:hAnsi="宋体" w:eastAsia="宋体" w:cs="宋体"/>
                <w:kern w:val="0"/>
                <w:sz w:val="20"/>
                <w:szCs w:val="20"/>
              </w:rPr>
            </w:pPr>
            <w:r>
              <w:rPr>
                <w:rFonts w:ascii="Times New Roman" w:hAnsi="Times New Roman" w:eastAsia="宋体" w:cs="Times New Roman"/>
                <w:kern w:val="0"/>
                <w:sz w:val="20"/>
                <w:szCs w:val="20"/>
              </w:rPr>
              <w:t>　</w:t>
            </w:r>
          </w:p>
        </w:tc>
        <w:tc>
          <w:tcPr>
            <w:tcW w:w="345" w:type="pct"/>
            <w:vMerge w:val="restart"/>
            <w:shd w:val="clear" w:color="auto" w:fill="auto"/>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报名网址：www.tzjob.com</w:t>
            </w:r>
            <w:r>
              <w:rPr>
                <w:rFonts w:hint="default" w:ascii="Times New Roman" w:hAnsi="Times New Roman" w:eastAsia="宋体" w:cs="Times New Roman"/>
                <w:kern w:val="0"/>
                <w:sz w:val="20"/>
                <w:szCs w:val="20"/>
              </w:rPr>
              <w:br w:type="textWrapping"/>
            </w:r>
            <w:r>
              <w:rPr>
                <w:rFonts w:hint="default" w:ascii="Times New Roman" w:hAnsi="Times New Roman" w:eastAsia="宋体" w:cs="Times New Roman"/>
                <w:kern w:val="0"/>
                <w:sz w:val="20"/>
                <w:szCs w:val="20"/>
              </w:rPr>
              <w:t>电子邮箱：jjzzbrck@163.com</w:t>
            </w:r>
            <w:r>
              <w:rPr>
                <w:rFonts w:hint="default" w:ascii="Times New Roman" w:hAnsi="Times New Roman" w:eastAsia="宋体" w:cs="Times New Roman"/>
                <w:kern w:val="0"/>
                <w:sz w:val="20"/>
                <w:szCs w:val="20"/>
              </w:rPr>
              <w:br w:type="textWrapping"/>
            </w:r>
            <w:r>
              <w:rPr>
                <w:rFonts w:hint="default" w:ascii="Times New Roman" w:hAnsi="Times New Roman" w:eastAsia="宋体" w:cs="Times New Roman"/>
                <w:kern w:val="0"/>
                <w:sz w:val="20"/>
                <w:szCs w:val="20"/>
              </w:rPr>
              <w:t>咨询电话：0523-89181516</w:t>
            </w:r>
          </w:p>
        </w:tc>
        <w:tc>
          <w:tcPr>
            <w:tcW w:w="183" w:type="pct"/>
            <w:vMerge w:val="restar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Times New Roman" w:hAnsi="Times New Roman" w:eastAsia="宋体" w:cs="宋体"/>
                <w:kern w:val="0"/>
                <w:sz w:val="20"/>
                <w:szCs w:val="20"/>
              </w:rPr>
              <w:t>2</w:t>
            </w:r>
          </w:p>
        </w:tc>
        <w:tc>
          <w:tcPr>
            <w:tcW w:w="267" w:type="pct"/>
            <w:vMerge w:val="restar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结构化面谈+无领导小组讨论</w:t>
            </w:r>
          </w:p>
        </w:tc>
        <w:tc>
          <w:tcPr>
            <w:tcW w:w="582" w:type="pct"/>
            <w:vMerge w:val="restart"/>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1.</w:t>
            </w:r>
            <w:r>
              <w:rPr>
                <w:rFonts w:hint="eastAsia" w:ascii="宋体" w:hAnsi="宋体" w:eastAsia="宋体" w:cs="Times New Roman"/>
                <w:kern w:val="0"/>
                <w:sz w:val="20"/>
                <w:szCs w:val="20"/>
              </w:rPr>
              <w:t>可申请享受生活补贴、安家补贴；</w:t>
            </w:r>
            <w:r>
              <w:rPr>
                <w:rFonts w:hint="eastAsia" w:ascii="宋体" w:hAnsi="宋体" w:eastAsia="宋体" w:cs="Times New Roman"/>
                <w:kern w:val="0"/>
                <w:sz w:val="20"/>
                <w:szCs w:val="20"/>
              </w:rPr>
              <w:br w:type="textWrapping"/>
            </w:r>
            <w:r>
              <w:rPr>
                <w:rFonts w:hint="eastAsia" w:ascii="Times New Roman" w:hAnsi="Times New Roman" w:eastAsia="宋体" w:cs="Times New Roman"/>
                <w:kern w:val="0"/>
                <w:sz w:val="20"/>
                <w:szCs w:val="20"/>
              </w:rPr>
              <w:t>2</w:t>
            </w:r>
            <w:r>
              <w:rPr>
                <w:rFonts w:hint="eastAsia" w:ascii="宋体" w:hAnsi="宋体" w:eastAsia="宋体" w:cs="Times New Roman"/>
                <w:kern w:val="0"/>
                <w:sz w:val="20"/>
                <w:szCs w:val="20"/>
              </w:rPr>
              <w:t>.外地籍学生</w:t>
            </w:r>
            <w:r>
              <w:rPr>
                <w:rFonts w:hint="eastAsia" w:ascii="Times New Roman" w:hAnsi="Times New Roman" w:eastAsia="宋体" w:cs="Times New Roman"/>
                <w:kern w:val="0"/>
                <w:sz w:val="20"/>
                <w:szCs w:val="20"/>
              </w:rPr>
              <w:t>3</w:t>
            </w:r>
            <w:r>
              <w:rPr>
                <w:rFonts w:hint="eastAsia" w:ascii="宋体" w:hAnsi="宋体" w:eastAsia="宋体" w:cs="Times New Roman"/>
                <w:kern w:val="0"/>
                <w:sz w:val="20"/>
                <w:szCs w:val="20"/>
              </w:rPr>
              <w:t>年内免费入住人才公寓。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507" w:hRule="atLeast"/>
          <w:jc w:val="center"/>
        </w:trPr>
        <w:tc>
          <w:tcPr>
            <w:tcW w:w="300"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靖江市</w:t>
            </w:r>
          </w:p>
        </w:tc>
        <w:tc>
          <w:tcPr>
            <w:tcW w:w="191"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2A</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靖江市</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青年人才储备中心</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综合类</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（女生）</w:t>
            </w:r>
          </w:p>
        </w:tc>
        <w:tc>
          <w:tcPr>
            <w:tcW w:w="228"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2A-2</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5</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本科</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及以上</w:t>
            </w:r>
          </w:p>
        </w:tc>
        <w:tc>
          <w:tcPr>
            <w:tcW w:w="912"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不限</w:t>
            </w:r>
          </w:p>
        </w:tc>
        <w:tc>
          <w:tcPr>
            <w:tcW w:w="846" w:type="pct"/>
            <w:vMerge w:val="continue"/>
            <w:tcMar>
              <w:top w:w="28" w:type="dxa"/>
              <w:left w:w="57" w:type="dxa"/>
              <w:bottom w:w="28" w:type="dxa"/>
              <w:right w:w="57" w:type="dxa"/>
            </w:tcMar>
            <w:vAlign w:val="center"/>
          </w:tcPr>
          <w:p>
            <w:pPr>
              <w:spacing w:line="240" w:lineRule="exact"/>
              <w:jc w:val="center"/>
              <w:rPr>
                <w:rFonts w:ascii="宋体" w:hAnsi="宋体" w:eastAsia="宋体" w:cs="宋体"/>
                <w:kern w:val="0"/>
                <w:sz w:val="20"/>
                <w:szCs w:val="20"/>
              </w:rPr>
            </w:pPr>
          </w:p>
        </w:tc>
        <w:tc>
          <w:tcPr>
            <w:tcW w:w="345" w:type="pct"/>
            <w:vMerge w:val="continue"/>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kern w:val="0"/>
                <w:sz w:val="20"/>
                <w:szCs w:val="20"/>
              </w:rPr>
            </w:pPr>
          </w:p>
        </w:tc>
        <w:tc>
          <w:tcPr>
            <w:tcW w:w="183"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267"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582" w:type="pct"/>
            <w:vMerge w:val="continue"/>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411" w:hRule="atLeast"/>
          <w:jc w:val="center"/>
        </w:trPr>
        <w:tc>
          <w:tcPr>
            <w:tcW w:w="300"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靖江市</w:t>
            </w:r>
          </w:p>
        </w:tc>
        <w:tc>
          <w:tcPr>
            <w:tcW w:w="191"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2A</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靖江市</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青年人才储备中心</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工程建设类</w:t>
            </w:r>
          </w:p>
        </w:tc>
        <w:tc>
          <w:tcPr>
            <w:tcW w:w="228"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2A-3</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硕士研究生及以上</w:t>
            </w:r>
          </w:p>
        </w:tc>
        <w:tc>
          <w:tcPr>
            <w:tcW w:w="912" w:type="pct"/>
            <w:shd w:val="clear" w:color="auto" w:fill="auto"/>
            <w:tcMar>
              <w:top w:w="28" w:type="dxa"/>
              <w:left w:w="57" w:type="dxa"/>
              <w:bottom w:w="28" w:type="dxa"/>
              <w:right w:w="57" w:type="dxa"/>
            </w:tcMar>
            <w:vAlign w:val="center"/>
          </w:tcPr>
          <w:p>
            <w:pPr>
              <w:widowControl/>
              <w:spacing w:line="240" w:lineRule="exact"/>
              <w:jc w:val="both"/>
              <w:rPr>
                <w:rFonts w:ascii="宋体" w:hAnsi="宋体" w:eastAsia="宋体" w:cs="宋体"/>
                <w:kern w:val="0"/>
                <w:sz w:val="20"/>
                <w:szCs w:val="20"/>
              </w:rPr>
            </w:pPr>
            <w:r>
              <w:rPr>
                <w:rFonts w:hint="eastAsia" w:ascii="宋体" w:hAnsi="宋体" w:eastAsia="宋体" w:cs="宋体"/>
                <w:kern w:val="0"/>
                <w:sz w:val="20"/>
                <w:szCs w:val="20"/>
              </w:rPr>
              <w:t>城建规划类、建筑工程类、交通工程类、水利工程类</w:t>
            </w:r>
          </w:p>
        </w:tc>
        <w:tc>
          <w:tcPr>
            <w:tcW w:w="846" w:type="pct"/>
            <w:vMerge w:val="restar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p>
        </w:tc>
        <w:tc>
          <w:tcPr>
            <w:tcW w:w="345" w:type="pct"/>
            <w:vMerge w:val="continue"/>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kern w:val="0"/>
                <w:sz w:val="20"/>
                <w:szCs w:val="20"/>
              </w:rPr>
            </w:pPr>
          </w:p>
        </w:tc>
        <w:tc>
          <w:tcPr>
            <w:tcW w:w="183"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267"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582" w:type="pct"/>
            <w:vMerge w:val="continue"/>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245" w:hRule="atLeast"/>
          <w:jc w:val="center"/>
        </w:trPr>
        <w:tc>
          <w:tcPr>
            <w:tcW w:w="300"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靖江市</w:t>
            </w:r>
          </w:p>
        </w:tc>
        <w:tc>
          <w:tcPr>
            <w:tcW w:w="191"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2A</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靖江市</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青年人才储备中心</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经济金融类</w:t>
            </w:r>
          </w:p>
        </w:tc>
        <w:tc>
          <w:tcPr>
            <w:tcW w:w="228"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2A-4</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硕士研究生及以上</w:t>
            </w:r>
          </w:p>
        </w:tc>
        <w:tc>
          <w:tcPr>
            <w:tcW w:w="912" w:type="pct"/>
            <w:shd w:val="clear" w:color="auto" w:fill="auto"/>
            <w:tcMar>
              <w:top w:w="28" w:type="dxa"/>
              <w:left w:w="57" w:type="dxa"/>
              <w:bottom w:w="28" w:type="dxa"/>
              <w:right w:w="57" w:type="dxa"/>
            </w:tcMar>
            <w:vAlign w:val="center"/>
          </w:tcPr>
          <w:p>
            <w:pPr>
              <w:widowControl/>
              <w:spacing w:line="240" w:lineRule="exact"/>
              <w:jc w:val="both"/>
              <w:rPr>
                <w:rFonts w:ascii="宋体" w:hAnsi="宋体" w:eastAsia="宋体" w:cs="宋体"/>
                <w:kern w:val="0"/>
                <w:sz w:val="20"/>
                <w:szCs w:val="20"/>
              </w:rPr>
            </w:pPr>
            <w:r>
              <w:rPr>
                <w:rFonts w:hint="eastAsia" w:ascii="宋体" w:hAnsi="宋体" w:eastAsia="宋体" w:cs="宋体"/>
                <w:kern w:val="0"/>
                <w:sz w:val="20"/>
                <w:szCs w:val="20"/>
              </w:rPr>
              <w:t>经济类、商务贸易类、财务财会类、统计类、审计类</w:t>
            </w:r>
          </w:p>
        </w:tc>
        <w:tc>
          <w:tcPr>
            <w:tcW w:w="846" w:type="pct"/>
            <w:vMerge w:val="continue"/>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345" w:type="pct"/>
            <w:vMerge w:val="continue"/>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kern w:val="0"/>
                <w:sz w:val="20"/>
                <w:szCs w:val="20"/>
              </w:rPr>
            </w:pPr>
          </w:p>
        </w:tc>
        <w:tc>
          <w:tcPr>
            <w:tcW w:w="183"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267"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582" w:type="pct"/>
            <w:vMerge w:val="continue"/>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437" w:hRule="atLeast"/>
          <w:jc w:val="center"/>
        </w:trPr>
        <w:tc>
          <w:tcPr>
            <w:tcW w:w="300"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靖江市</w:t>
            </w:r>
          </w:p>
        </w:tc>
        <w:tc>
          <w:tcPr>
            <w:tcW w:w="191"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2A</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靖江市</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青年人才储备中心</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应急管理类</w:t>
            </w:r>
          </w:p>
        </w:tc>
        <w:tc>
          <w:tcPr>
            <w:tcW w:w="228"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2A-5</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硕士研究生及以上</w:t>
            </w:r>
          </w:p>
        </w:tc>
        <w:tc>
          <w:tcPr>
            <w:tcW w:w="912"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安全生产类</w:t>
            </w:r>
          </w:p>
        </w:tc>
        <w:tc>
          <w:tcPr>
            <w:tcW w:w="846" w:type="pct"/>
            <w:vMerge w:val="continue"/>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345" w:type="pct"/>
            <w:vMerge w:val="continue"/>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kern w:val="0"/>
                <w:sz w:val="20"/>
                <w:szCs w:val="20"/>
              </w:rPr>
            </w:pPr>
          </w:p>
        </w:tc>
        <w:tc>
          <w:tcPr>
            <w:tcW w:w="183"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267"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582" w:type="pct"/>
            <w:vMerge w:val="continue"/>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191" w:hRule="atLeast"/>
          <w:jc w:val="center"/>
        </w:trPr>
        <w:tc>
          <w:tcPr>
            <w:tcW w:w="300"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泰兴市</w:t>
            </w:r>
          </w:p>
        </w:tc>
        <w:tc>
          <w:tcPr>
            <w:tcW w:w="191"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3A</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泰兴市</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青年人才储备中心</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综合类</w:t>
            </w:r>
            <w:r>
              <w:rPr>
                <w:rFonts w:ascii="Times New Roman" w:hAnsi="Times New Roman" w:eastAsia="宋体" w:cs="Times New Roman"/>
                <w:kern w:val="0"/>
                <w:sz w:val="20"/>
                <w:szCs w:val="20"/>
              </w:rPr>
              <w:br w:type="textWrapping"/>
            </w:r>
            <w:r>
              <w:rPr>
                <w:rFonts w:hint="eastAsia" w:ascii="宋体" w:hAnsi="宋体" w:eastAsia="宋体" w:cs="宋体"/>
                <w:kern w:val="0"/>
                <w:sz w:val="20"/>
                <w:szCs w:val="20"/>
              </w:rPr>
              <w:t>（男生）</w:t>
            </w:r>
          </w:p>
        </w:tc>
        <w:tc>
          <w:tcPr>
            <w:tcW w:w="228"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3A1-1</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本科</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及以上</w:t>
            </w:r>
          </w:p>
        </w:tc>
        <w:tc>
          <w:tcPr>
            <w:tcW w:w="912"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不限</w:t>
            </w:r>
          </w:p>
        </w:tc>
        <w:tc>
          <w:tcPr>
            <w:tcW w:w="846" w:type="pct"/>
            <w:vMerge w:val="restart"/>
            <w:shd w:val="clear" w:color="auto" w:fill="auto"/>
            <w:tcMar>
              <w:top w:w="28" w:type="dxa"/>
              <w:left w:w="57" w:type="dxa"/>
              <w:bottom w:w="28" w:type="dxa"/>
              <w:right w:w="57" w:type="dxa"/>
            </w:tcMar>
            <w:vAlign w:val="center"/>
          </w:tcPr>
          <w:p>
            <w:pPr>
              <w:widowControl/>
              <w:spacing w:line="240" w:lineRule="exact"/>
              <w:rPr>
                <w:rFonts w:ascii="Times New Roman" w:hAnsi="Times New Roman" w:eastAsia="宋体" w:cs="Times New Roman"/>
                <w:kern w:val="0"/>
                <w:sz w:val="20"/>
                <w:szCs w:val="20"/>
              </w:rPr>
            </w:pPr>
            <w:r>
              <w:rPr>
                <w:rFonts w:ascii="Times New Roman" w:hAnsi="Times New Roman" w:eastAsia="宋体" w:cs="Times New Roman"/>
                <w:kern w:val="0"/>
                <w:sz w:val="20"/>
                <w:szCs w:val="20"/>
              </w:rPr>
              <w:t>1.C9</w:t>
            </w:r>
            <w:r>
              <w:rPr>
                <w:rFonts w:hint="eastAsia" w:ascii="宋体" w:hAnsi="宋体" w:eastAsia="宋体" w:cs="Times New Roman"/>
                <w:kern w:val="0"/>
                <w:sz w:val="20"/>
                <w:szCs w:val="20"/>
              </w:rPr>
              <w:t>重点高校（清华大学、北京大学、复旦大学、上海交通大学、南京大学、浙江大学、中国科学技术大学、哈尔滨工业大学、西安交通大学，下同）全日制本科学历毕业生；</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2.C9</w:t>
            </w:r>
            <w:r>
              <w:rPr>
                <w:rFonts w:hint="eastAsia" w:ascii="宋体" w:hAnsi="宋体" w:eastAsia="宋体" w:cs="Times New Roman"/>
                <w:kern w:val="0"/>
                <w:sz w:val="20"/>
                <w:szCs w:val="20"/>
              </w:rPr>
              <w:t>重点高校全日制硕士研究生及以上学历毕业生（本科和研究生阶段均须为第二轮</w:t>
            </w:r>
            <w:r>
              <w:rPr>
                <w:rFonts w:hint="eastAsia" w:ascii="Times New Roman" w:hAnsi="Times New Roman" w:eastAsia="宋体" w:cs="Times New Roman"/>
                <w:kern w:val="0"/>
                <w:sz w:val="20"/>
                <w:szCs w:val="20"/>
              </w:rPr>
              <w:t>“</w:t>
            </w:r>
            <w:r>
              <w:rPr>
                <w:rFonts w:hint="eastAsia" w:ascii="宋体" w:hAnsi="宋体" w:eastAsia="宋体" w:cs="Times New Roman"/>
                <w:kern w:val="0"/>
                <w:sz w:val="20"/>
                <w:szCs w:val="20"/>
              </w:rPr>
              <w:t>双一流</w:t>
            </w:r>
            <w:r>
              <w:rPr>
                <w:rFonts w:hint="eastAsia" w:ascii="Times New Roman" w:hAnsi="Times New Roman" w:eastAsia="宋体" w:cs="Times New Roman"/>
                <w:kern w:val="0"/>
                <w:sz w:val="20"/>
                <w:szCs w:val="20"/>
              </w:rPr>
              <w:t>”</w:t>
            </w:r>
            <w:r>
              <w:rPr>
                <w:rFonts w:hint="eastAsia" w:ascii="宋体" w:hAnsi="宋体" w:eastAsia="宋体" w:cs="Times New Roman"/>
                <w:kern w:val="0"/>
                <w:sz w:val="20"/>
                <w:szCs w:val="20"/>
              </w:rPr>
              <w:t>建设高校全日制毕业生）；</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3.</w:t>
            </w:r>
            <w:r>
              <w:rPr>
                <w:rFonts w:hint="eastAsia" w:ascii="宋体" w:hAnsi="宋体" w:eastAsia="宋体" w:cs="Times New Roman"/>
                <w:kern w:val="0"/>
                <w:sz w:val="20"/>
                <w:szCs w:val="20"/>
              </w:rPr>
              <w:t>法律类岗位须取得国家法律职业资格证书（</w:t>
            </w:r>
            <w:r>
              <w:rPr>
                <w:rFonts w:ascii="Times New Roman" w:hAnsi="Times New Roman" w:eastAsia="宋体" w:cs="Times New Roman"/>
                <w:kern w:val="0"/>
                <w:sz w:val="20"/>
                <w:szCs w:val="20"/>
              </w:rPr>
              <w:t>A</w:t>
            </w:r>
            <w:r>
              <w:rPr>
                <w:rFonts w:hint="eastAsia" w:ascii="宋体" w:hAnsi="宋体" w:eastAsia="宋体" w:cs="Times New Roman"/>
                <w:kern w:val="0"/>
                <w:sz w:val="20"/>
                <w:szCs w:val="20"/>
              </w:rPr>
              <w:t>类）。</w:t>
            </w:r>
          </w:p>
        </w:tc>
        <w:tc>
          <w:tcPr>
            <w:tcW w:w="345" w:type="pct"/>
            <w:vMerge w:val="restart"/>
            <w:shd w:val="clear" w:color="auto" w:fill="auto"/>
            <w:tcMar>
              <w:top w:w="28" w:type="dxa"/>
              <w:left w:w="57" w:type="dxa"/>
              <w:bottom w:w="28" w:type="dxa"/>
              <w:right w:w="57" w:type="dxa"/>
            </w:tcMar>
            <w:vAlign w:val="center"/>
          </w:tcPr>
          <w:p>
            <w:pPr>
              <w:widowControl/>
              <w:spacing w:line="240" w:lineRule="exact"/>
              <w:jc w:val="both"/>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报名网址：</w:t>
            </w:r>
            <w:r>
              <w:rPr>
                <w:rFonts w:hint="default" w:ascii="Times New Roman" w:hAnsi="Times New Roman" w:eastAsia="宋体" w:cs="Times New Roman"/>
                <w:color w:val="auto"/>
                <w:kern w:val="0"/>
                <w:sz w:val="20"/>
                <w:szCs w:val="20"/>
                <w:u w:val="none"/>
              </w:rPr>
              <w:fldChar w:fldCharType="begin"/>
            </w:r>
            <w:r>
              <w:rPr>
                <w:rFonts w:hint="default" w:ascii="Times New Roman" w:hAnsi="Times New Roman" w:eastAsia="宋体" w:cs="Times New Roman"/>
                <w:color w:val="auto"/>
                <w:kern w:val="0"/>
                <w:sz w:val="20"/>
                <w:szCs w:val="20"/>
                <w:u w:val="none"/>
              </w:rPr>
              <w:instrText xml:space="preserve"> HYPERLINK "http://www.tzjob.com" </w:instrText>
            </w:r>
            <w:r>
              <w:rPr>
                <w:rFonts w:hint="default" w:ascii="Times New Roman" w:hAnsi="Times New Roman" w:eastAsia="宋体" w:cs="Times New Roman"/>
                <w:color w:val="auto"/>
                <w:kern w:val="0"/>
                <w:sz w:val="20"/>
                <w:szCs w:val="20"/>
                <w:u w:val="none"/>
              </w:rPr>
              <w:fldChar w:fldCharType="separate"/>
            </w:r>
            <w:r>
              <w:rPr>
                <w:rStyle w:val="6"/>
                <w:rFonts w:hint="default" w:ascii="Times New Roman" w:hAnsi="Times New Roman" w:eastAsia="宋体" w:cs="Times New Roman"/>
                <w:color w:val="auto"/>
                <w:kern w:val="0"/>
                <w:sz w:val="20"/>
                <w:szCs w:val="20"/>
                <w:u w:val="none"/>
              </w:rPr>
              <w:t>www.tzjob.com</w:t>
            </w:r>
            <w:r>
              <w:rPr>
                <w:rFonts w:hint="default" w:ascii="Times New Roman" w:hAnsi="Times New Roman" w:eastAsia="宋体" w:cs="Times New Roman"/>
                <w:color w:val="auto"/>
                <w:kern w:val="0"/>
                <w:sz w:val="20"/>
                <w:szCs w:val="20"/>
                <w:u w:val="none"/>
              </w:rPr>
              <w:fldChar w:fldCharType="end"/>
            </w:r>
          </w:p>
          <w:p>
            <w:pPr>
              <w:widowControl/>
              <w:spacing w:line="240" w:lineRule="exact"/>
              <w:jc w:val="both"/>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电子邮箱：txzzbghb@126.com</w:t>
            </w:r>
          </w:p>
          <w:p>
            <w:pPr>
              <w:widowControl/>
              <w:spacing w:line="240" w:lineRule="exact"/>
              <w:jc w:val="both"/>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咨询电话：</w:t>
            </w:r>
          </w:p>
          <w:p>
            <w:pPr>
              <w:widowControl/>
              <w:spacing w:line="240" w:lineRule="exact"/>
              <w:jc w:val="both"/>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13512550991；</w:t>
            </w:r>
          </w:p>
          <w:p>
            <w:pPr>
              <w:widowControl/>
              <w:spacing w:line="240" w:lineRule="exact"/>
              <w:jc w:val="both"/>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18994713397。</w:t>
            </w:r>
          </w:p>
        </w:tc>
        <w:tc>
          <w:tcPr>
            <w:tcW w:w="183" w:type="pct"/>
            <w:vMerge w:val="restar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267" w:type="pct"/>
            <w:vMerge w:val="restar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综评</w:t>
            </w:r>
            <w:r>
              <w:rPr>
                <w:rFonts w:ascii="Times New Roman" w:hAnsi="Times New Roman" w:eastAsia="宋体" w:cs="Times New Roman"/>
                <w:kern w:val="0"/>
                <w:sz w:val="20"/>
                <w:szCs w:val="20"/>
              </w:rPr>
              <w:t>+</w:t>
            </w:r>
            <w:r>
              <w:rPr>
                <w:rFonts w:hint="eastAsia" w:ascii="宋体" w:hAnsi="宋体" w:eastAsia="宋体" w:cs="宋体"/>
                <w:kern w:val="0"/>
                <w:sz w:val="20"/>
                <w:szCs w:val="20"/>
              </w:rPr>
              <w:t>面试</w:t>
            </w:r>
          </w:p>
        </w:tc>
        <w:tc>
          <w:tcPr>
            <w:tcW w:w="582" w:type="pct"/>
            <w:vMerge w:val="restart"/>
            <w:shd w:val="clear" w:color="auto" w:fill="auto"/>
            <w:tcMar>
              <w:top w:w="28" w:type="dxa"/>
              <w:left w:w="57" w:type="dxa"/>
              <w:bottom w:w="28" w:type="dxa"/>
              <w:right w:w="57" w:type="dxa"/>
            </w:tcMar>
            <w:vAlign w:val="center"/>
          </w:tcPr>
          <w:p>
            <w:pPr>
              <w:widowControl/>
              <w:spacing w:line="240" w:lineRule="exact"/>
              <w:rPr>
                <w:rFonts w:hint="eastAsia" w:ascii="Times New Roman" w:hAnsi="Times New Roman" w:eastAsia="宋体" w:cs="Times New Roman"/>
                <w:kern w:val="0"/>
                <w:sz w:val="20"/>
                <w:szCs w:val="20"/>
              </w:rPr>
            </w:pPr>
            <w:r>
              <w:rPr>
                <w:rFonts w:hint="eastAsia" w:ascii="Times New Roman" w:hAnsi="Times New Roman" w:eastAsia="宋体" w:cs="Times New Roman"/>
                <w:kern w:val="0"/>
                <w:sz w:val="20"/>
                <w:szCs w:val="20"/>
              </w:rPr>
              <w:t>1.本科生、硕士研究生、博士研究生（按符合招聘要求的最高学历）年薪分别不低于30万元、35万元、40万元（包含个人需缴纳的医保费用、养老保险、职业年金、住房公积金和个人所得税）；试用期满考核合格的，分别发放一次性入职奖励15万元、20万元、30万元；</w:t>
            </w:r>
          </w:p>
          <w:p>
            <w:pPr>
              <w:widowControl/>
              <w:spacing w:line="240" w:lineRule="exact"/>
              <w:rPr>
                <w:rFonts w:hint="eastAsia" w:ascii="Times New Roman" w:hAnsi="Times New Roman" w:eastAsia="宋体" w:cs="Times New Roman"/>
                <w:kern w:val="0"/>
                <w:sz w:val="20"/>
                <w:szCs w:val="20"/>
              </w:rPr>
            </w:pPr>
            <w:r>
              <w:rPr>
                <w:rFonts w:hint="eastAsia" w:ascii="Times New Roman" w:hAnsi="Times New Roman" w:eastAsia="宋体" w:cs="Times New Roman"/>
                <w:kern w:val="0"/>
                <w:sz w:val="20"/>
                <w:szCs w:val="20"/>
              </w:rPr>
              <w:t>2.免费居住人才公寓（或给予租房补贴）3年，享受“购房券”待遇，本科生、硕士研究生、博士研究生发放标准分别为8万元、15万元、25万元；</w:t>
            </w:r>
          </w:p>
          <w:p>
            <w:pPr>
              <w:widowControl/>
              <w:spacing w:line="240" w:lineRule="exac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3.因选聘名额限制未被录用的，根据个人意愿及专业匹配度，可推荐至泰兴市开发园区、国有企业就业。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191" w:hRule="atLeast"/>
          <w:jc w:val="center"/>
        </w:trPr>
        <w:tc>
          <w:tcPr>
            <w:tcW w:w="300"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泰兴市</w:t>
            </w:r>
          </w:p>
        </w:tc>
        <w:tc>
          <w:tcPr>
            <w:tcW w:w="191"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3A</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泰兴市</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青年人才储备中心</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综合类</w:t>
            </w:r>
            <w:r>
              <w:rPr>
                <w:rFonts w:ascii="Times New Roman" w:hAnsi="Times New Roman" w:eastAsia="宋体" w:cs="Times New Roman"/>
                <w:kern w:val="0"/>
                <w:sz w:val="20"/>
                <w:szCs w:val="20"/>
              </w:rPr>
              <w:br w:type="textWrapping"/>
            </w:r>
            <w:r>
              <w:rPr>
                <w:rFonts w:hint="eastAsia" w:ascii="宋体" w:hAnsi="宋体" w:eastAsia="宋体" w:cs="宋体"/>
                <w:kern w:val="0"/>
                <w:sz w:val="20"/>
                <w:szCs w:val="20"/>
              </w:rPr>
              <w:t>（女生）</w:t>
            </w:r>
          </w:p>
        </w:tc>
        <w:tc>
          <w:tcPr>
            <w:tcW w:w="228"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3A1-2</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本科</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及以上</w:t>
            </w:r>
          </w:p>
        </w:tc>
        <w:tc>
          <w:tcPr>
            <w:tcW w:w="912"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不限</w:t>
            </w:r>
          </w:p>
        </w:tc>
        <w:tc>
          <w:tcPr>
            <w:tcW w:w="846" w:type="pct"/>
            <w:vMerge w:val="continue"/>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345" w:type="pct"/>
            <w:vMerge w:val="continue"/>
            <w:shd w:val="clear" w:color="auto" w:fill="auto"/>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kern w:val="0"/>
                <w:sz w:val="20"/>
                <w:szCs w:val="20"/>
              </w:rPr>
            </w:pPr>
          </w:p>
        </w:tc>
        <w:tc>
          <w:tcPr>
            <w:tcW w:w="183" w:type="pct"/>
            <w:vMerge w:val="continue"/>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267" w:type="pct"/>
            <w:vMerge w:val="continue"/>
            <w:shd w:val="clear" w:color="auto" w:fill="auto"/>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582" w:type="pct"/>
            <w:vMerge w:val="continue"/>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833" w:hRule="atLeast"/>
          <w:jc w:val="center"/>
        </w:trPr>
        <w:tc>
          <w:tcPr>
            <w:tcW w:w="300"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泰兴市</w:t>
            </w:r>
          </w:p>
        </w:tc>
        <w:tc>
          <w:tcPr>
            <w:tcW w:w="191"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3A</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泰兴市</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青年人才储备中心</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经济类</w:t>
            </w:r>
          </w:p>
        </w:tc>
        <w:tc>
          <w:tcPr>
            <w:tcW w:w="228"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3A1-3</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本科</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及以上</w:t>
            </w:r>
          </w:p>
        </w:tc>
        <w:tc>
          <w:tcPr>
            <w:tcW w:w="912" w:type="pct"/>
            <w:shd w:val="clear" w:color="auto" w:fill="auto"/>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经济学，国际经济与贸易，财政学，金融学，国民经济管理，贸易经济，金融工程，投资学，经济与行政管理，经济统计学，商务经济学，能源经济，金融数学，经济与金融，农村区域发展，金融管理，国际贸易，金融，统计学，税收学，电子商务，工程造价，工程管理，财务管理，应用统计学，会计，会计学，互联网金融，政治经济学，世界经济，人口、资源与环境经济学，国民经济学，区域经济学，财政学（含税收学），产业经济学，国际贸易学，劳动经济学，应用统计，资产评估，农村与区域发展，国际商务，应用经济学，审计，会计与金融</w:t>
            </w:r>
          </w:p>
        </w:tc>
        <w:tc>
          <w:tcPr>
            <w:tcW w:w="846" w:type="pct"/>
            <w:vMerge w:val="continue"/>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345" w:type="pct"/>
            <w:vMerge w:val="continue"/>
            <w:shd w:val="clear" w:color="auto" w:fill="auto"/>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kern w:val="0"/>
                <w:sz w:val="20"/>
                <w:szCs w:val="20"/>
              </w:rPr>
            </w:pPr>
          </w:p>
        </w:tc>
        <w:tc>
          <w:tcPr>
            <w:tcW w:w="183" w:type="pct"/>
            <w:vMerge w:val="continue"/>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267" w:type="pct"/>
            <w:vMerge w:val="continue"/>
            <w:shd w:val="clear" w:color="auto" w:fill="auto"/>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582" w:type="pct"/>
            <w:vMerge w:val="continue"/>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4" w:hRule="atLeast"/>
          <w:jc w:val="center"/>
        </w:trPr>
        <w:tc>
          <w:tcPr>
            <w:tcW w:w="300"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泰兴市</w:t>
            </w:r>
          </w:p>
        </w:tc>
        <w:tc>
          <w:tcPr>
            <w:tcW w:w="191"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3A</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泰兴市</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青年人才储备中心</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化学工程类</w:t>
            </w:r>
          </w:p>
        </w:tc>
        <w:tc>
          <w:tcPr>
            <w:tcW w:w="228"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3A1-4</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本科</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及以上</w:t>
            </w:r>
          </w:p>
        </w:tc>
        <w:tc>
          <w:tcPr>
            <w:tcW w:w="912" w:type="pct"/>
            <w:shd w:val="clear" w:color="auto" w:fill="auto"/>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r>
              <w:rPr>
                <w:rFonts w:hint="eastAsia" w:ascii="Times New Roman" w:hAnsi="Times New Roman" w:eastAsia="宋体" w:cs="宋体"/>
                <w:kern w:val="0"/>
                <w:sz w:val="20"/>
                <w:szCs w:val="20"/>
              </w:rPr>
              <w:t>化学工程与工艺，制药工程，油气加工工程，化工与制药，化学工程与工业生物工程，能源化学工程，化学工程，化工管理，化工工艺，高分子化工，精细化工，生物化工，工业分析，电化学工程，工业催化，化学制药，生物制药，材料化学，化学，化学生物学，化学药物制备工艺学，环境化学，精细合成化学与分子工程，精细化学品化学，制药化学，新能源材料，制药工程与技术，制药与精细化工，化学工艺，应用化学</w:t>
            </w:r>
          </w:p>
        </w:tc>
        <w:tc>
          <w:tcPr>
            <w:tcW w:w="846" w:type="pct"/>
            <w:vMerge w:val="restart"/>
            <w:shd w:val="clear" w:color="auto" w:fill="auto"/>
            <w:tcMar>
              <w:top w:w="28" w:type="dxa"/>
              <w:left w:w="57" w:type="dxa"/>
              <w:bottom w:w="28" w:type="dxa"/>
              <w:right w:w="57" w:type="dxa"/>
            </w:tcMar>
            <w:vAlign w:val="center"/>
          </w:tcPr>
          <w:p>
            <w:pPr>
              <w:widowControl/>
              <w:spacing w:line="240" w:lineRule="exact"/>
              <w:rPr>
                <w:rFonts w:ascii="Times New Roman" w:hAnsi="Times New Roman" w:eastAsia="宋体" w:cs="Times New Roman"/>
                <w:kern w:val="0"/>
                <w:sz w:val="20"/>
                <w:szCs w:val="20"/>
              </w:rPr>
            </w:pPr>
            <w:r>
              <w:rPr>
                <w:rFonts w:ascii="Times New Roman" w:hAnsi="Times New Roman" w:eastAsia="宋体" w:cs="Times New Roman"/>
                <w:kern w:val="0"/>
                <w:sz w:val="20"/>
                <w:szCs w:val="20"/>
              </w:rPr>
              <w:t>1.C9</w:t>
            </w:r>
            <w:r>
              <w:rPr>
                <w:rFonts w:hint="eastAsia" w:ascii="宋体" w:hAnsi="宋体" w:eastAsia="宋体" w:cs="Times New Roman"/>
                <w:kern w:val="0"/>
                <w:sz w:val="20"/>
                <w:szCs w:val="20"/>
              </w:rPr>
              <w:t>重点高校（清华大学、北京大学、复旦大学、上海交通大学、南京大学、浙江大学、中国科学技术大学、哈尔滨工业大学、西安交通大学，下同）全日制本科学历毕业生；</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2.C9</w:t>
            </w:r>
            <w:r>
              <w:rPr>
                <w:rFonts w:hint="eastAsia" w:ascii="宋体" w:hAnsi="宋体" w:eastAsia="宋体" w:cs="Times New Roman"/>
                <w:kern w:val="0"/>
                <w:sz w:val="20"/>
                <w:szCs w:val="20"/>
              </w:rPr>
              <w:t>重点高校全日制硕士研究生及以上学历毕业生（本科和研究生阶段均须为第二轮</w:t>
            </w:r>
            <w:r>
              <w:rPr>
                <w:rFonts w:hint="eastAsia" w:ascii="Times New Roman" w:hAnsi="Times New Roman" w:eastAsia="宋体" w:cs="Times New Roman"/>
                <w:kern w:val="0"/>
                <w:sz w:val="20"/>
                <w:szCs w:val="20"/>
              </w:rPr>
              <w:t>“</w:t>
            </w:r>
            <w:r>
              <w:rPr>
                <w:rFonts w:hint="eastAsia" w:ascii="宋体" w:hAnsi="宋体" w:eastAsia="宋体" w:cs="Times New Roman"/>
                <w:kern w:val="0"/>
                <w:sz w:val="20"/>
                <w:szCs w:val="20"/>
              </w:rPr>
              <w:t>双一流</w:t>
            </w:r>
            <w:r>
              <w:rPr>
                <w:rFonts w:hint="eastAsia" w:ascii="Times New Roman" w:hAnsi="Times New Roman" w:eastAsia="宋体" w:cs="Times New Roman"/>
                <w:kern w:val="0"/>
                <w:sz w:val="20"/>
                <w:szCs w:val="20"/>
              </w:rPr>
              <w:t>”</w:t>
            </w:r>
            <w:r>
              <w:rPr>
                <w:rFonts w:hint="eastAsia" w:ascii="宋体" w:hAnsi="宋体" w:eastAsia="宋体" w:cs="Times New Roman"/>
                <w:kern w:val="0"/>
                <w:sz w:val="20"/>
                <w:szCs w:val="20"/>
              </w:rPr>
              <w:t>建设高校全日制毕业生）；</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3.</w:t>
            </w:r>
            <w:r>
              <w:rPr>
                <w:rFonts w:hint="eastAsia" w:ascii="宋体" w:hAnsi="宋体" w:eastAsia="宋体" w:cs="Times New Roman"/>
                <w:kern w:val="0"/>
                <w:sz w:val="20"/>
                <w:szCs w:val="20"/>
              </w:rPr>
              <w:t>法律类岗位须取得国家法律职业资格证书（</w:t>
            </w:r>
            <w:r>
              <w:rPr>
                <w:rFonts w:ascii="Times New Roman" w:hAnsi="Times New Roman" w:eastAsia="宋体" w:cs="Times New Roman"/>
                <w:kern w:val="0"/>
                <w:sz w:val="20"/>
                <w:szCs w:val="20"/>
              </w:rPr>
              <w:t>A</w:t>
            </w:r>
            <w:r>
              <w:rPr>
                <w:rFonts w:hint="eastAsia" w:ascii="宋体" w:hAnsi="宋体" w:eastAsia="宋体" w:cs="Times New Roman"/>
                <w:kern w:val="0"/>
                <w:sz w:val="20"/>
                <w:szCs w:val="20"/>
              </w:rPr>
              <w:t>类）。</w:t>
            </w:r>
          </w:p>
        </w:tc>
        <w:tc>
          <w:tcPr>
            <w:tcW w:w="345" w:type="pct"/>
            <w:vMerge w:val="restart"/>
            <w:shd w:val="clear" w:color="auto" w:fill="auto"/>
            <w:tcMar>
              <w:top w:w="28" w:type="dxa"/>
              <w:left w:w="57" w:type="dxa"/>
              <w:bottom w:w="28" w:type="dxa"/>
              <w:right w:w="57" w:type="dxa"/>
            </w:tcMar>
            <w:vAlign w:val="center"/>
          </w:tcPr>
          <w:p>
            <w:pPr>
              <w:widowControl/>
              <w:spacing w:line="240" w:lineRule="exact"/>
              <w:jc w:val="both"/>
              <w:rPr>
                <w:rFonts w:hint="default" w:ascii="Times New Roman" w:hAnsi="Times New Roman" w:eastAsia="宋体" w:cs="Times New Roman"/>
                <w:color w:val="auto"/>
                <w:kern w:val="0"/>
                <w:sz w:val="20"/>
                <w:szCs w:val="20"/>
                <w:u w:val="none"/>
              </w:rPr>
            </w:pPr>
            <w:r>
              <w:rPr>
                <w:rFonts w:hint="default" w:ascii="Times New Roman" w:hAnsi="Times New Roman" w:eastAsia="宋体" w:cs="Times New Roman"/>
                <w:kern w:val="0"/>
                <w:sz w:val="20"/>
                <w:szCs w:val="20"/>
              </w:rPr>
              <w:t>报名网址：</w:t>
            </w:r>
            <w:r>
              <w:rPr>
                <w:rFonts w:hint="default" w:ascii="Times New Roman" w:hAnsi="Times New Roman" w:eastAsia="宋体" w:cs="Times New Roman"/>
                <w:color w:val="auto"/>
                <w:kern w:val="0"/>
                <w:sz w:val="20"/>
                <w:szCs w:val="20"/>
                <w:u w:val="none"/>
              </w:rPr>
              <w:fldChar w:fldCharType="begin"/>
            </w:r>
            <w:r>
              <w:rPr>
                <w:rFonts w:hint="default" w:ascii="Times New Roman" w:hAnsi="Times New Roman" w:eastAsia="宋体" w:cs="Times New Roman"/>
                <w:color w:val="auto"/>
                <w:kern w:val="0"/>
                <w:sz w:val="20"/>
                <w:szCs w:val="20"/>
                <w:u w:val="none"/>
              </w:rPr>
              <w:instrText xml:space="preserve"> HYPERLINK "http://www.tzjob.com" </w:instrText>
            </w:r>
            <w:r>
              <w:rPr>
                <w:rFonts w:hint="default" w:ascii="Times New Roman" w:hAnsi="Times New Roman" w:eastAsia="宋体" w:cs="Times New Roman"/>
                <w:color w:val="auto"/>
                <w:kern w:val="0"/>
                <w:sz w:val="20"/>
                <w:szCs w:val="20"/>
                <w:u w:val="none"/>
              </w:rPr>
              <w:fldChar w:fldCharType="separate"/>
            </w:r>
            <w:r>
              <w:rPr>
                <w:rStyle w:val="6"/>
                <w:rFonts w:hint="default" w:ascii="Times New Roman" w:hAnsi="Times New Roman" w:eastAsia="宋体" w:cs="Times New Roman"/>
                <w:color w:val="auto"/>
                <w:kern w:val="0"/>
                <w:sz w:val="20"/>
                <w:szCs w:val="20"/>
                <w:u w:val="none"/>
              </w:rPr>
              <w:t>www.tzjob.com</w:t>
            </w:r>
            <w:r>
              <w:rPr>
                <w:rFonts w:hint="default" w:ascii="Times New Roman" w:hAnsi="Times New Roman" w:eastAsia="宋体" w:cs="Times New Roman"/>
                <w:color w:val="auto"/>
                <w:kern w:val="0"/>
                <w:sz w:val="20"/>
                <w:szCs w:val="20"/>
                <w:u w:val="none"/>
              </w:rPr>
              <w:fldChar w:fldCharType="end"/>
            </w:r>
          </w:p>
          <w:p>
            <w:pPr>
              <w:widowControl/>
              <w:spacing w:line="240" w:lineRule="exact"/>
              <w:jc w:val="both"/>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电子邮箱：txzzbghb@126.com</w:t>
            </w:r>
          </w:p>
          <w:p>
            <w:pPr>
              <w:widowControl/>
              <w:spacing w:line="240" w:lineRule="exact"/>
              <w:jc w:val="both"/>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咨询电话：</w:t>
            </w:r>
          </w:p>
          <w:p>
            <w:pPr>
              <w:widowControl/>
              <w:spacing w:line="240" w:lineRule="exact"/>
              <w:jc w:val="both"/>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13512550991；</w:t>
            </w:r>
          </w:p>
          <w:p>
            <w:pPr>
              <w:widowControl/>
              <w:spacing w:line="240" w:lineRule="exact"/>
              <w:jc w:val="both"/>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18994713397。</w:t>
            </w:r>
          </w:p>
        </w:tc>
        <w:tc>
          <w:tcPr>
            <w:tcW w:w="183" w:type="pct"/>
            <w:vMerge w:val="restar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267" w:type="pct"/>
            <w:vMerge w:val="restar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综评</w:t>
            </w:r>
            <w:r>
              <w:rPr>
                <w:rFonts w:ascii="Times New Roman" w:hAnsi="Times New Roman" w:eastAsia="宋体" w:cs="Times New Roman"/>
                <w:kern w:val="0"/>
                <w:sz w:val="20"/>
                <w:szCs w:val="20"/>
              </w:rPr>
              <w:t>+</w:t>
            </w:r>
            <w:r>
              <w:rPr>
                <w:rFonts w:hint="eastAsia" w:ascii="宋体" w:hAnsi="宋体" w:eastAsia="宋体" w:cs="宋体"/>
                <w:kern w:val="0"/>
                <w:sz w:val="20"/>
                <w:szCs w:val="20"/>
              </w:rPr>
              <w:t>面试</w:t>
            </w:r>
          </w:p>
        </w:tc>
        <w:tc>
          <w:tcPr>
            <w:tcW w:w="582" w:type="pct"/>
            <w:vMerge w:val="restart"/>
            <w:shd w:val="clear" w:color="auto" w:fill="auto"/>
            <w:tcMar>
              <w:top w:w="28" w:type="dxa"/>
              <w:left w:w="57" w:type="dxa"/>
              <w:bottom w:w="28" w:type="dxa"/>
              <w:right w:w="57" w:type="dxa"/>
            </w:tcMar>
            <w:vAlign w:val="center"/>
          </w:tcPr>
          <w:p>
            <w:pPr>
              <w:widowControl/>
              <w:spacing w:line="240" w:lineRule="exact"/>
              <w:rPr>
                <w:rFonts w:hint="eastAsia" w:ascii="Times New Roman" w:hAnsi="Times New Roman" w:eastAsia="宋体" w:cs="Times New Roman"/>
                <w:kern w:val="0"/>
                <w:sz w:val="20"/>
                <w:szCs w:val="20"/>
              </w:rPr>
            </w:pPr>
            <w:r>
              <w:rPr>
                <w:rFonts w:hint="eastAsia" w:ascii="Times New Roman" w:hAnsi="Times New Roman" w:eastAsia="宋体" w:cs="Times New Roman"/>
                <w:kern w:val="0"/>
                <w:sz w:val="20"/>
                <w:szCs w:val="20"/>
              </w:rPr>
              <w:t>1.本科生、硕士研究生、博士研究生（按符合招聘要求的最高学历）年薪分别不低于30万元、35万元、40万元（包含个人需缴纳的医保费用、养老保险、职业年金、住房公积金和个人所得税）；试用期满考核合格的，分别发放一次性入职奖励15万元、20万元、30万元；</w:t>
            </w:r>
          </w:p>
          <w:p>
            <w:pPr>
              <w:widowControl/>
              <w:spacing w:line="240" w:lineRule="exact"/>
              <w:rPr>
                <w:rFonts w:hint="eastAsia" w:ascii="Times New Roman" w:hAnsi="Times New Roman" w:eastAsia="宋体" w:cs="Times New Roman"/>
                <w:kern w:val="0"/>
                <w:sz w:val="20"/>
                <w:szCs w:val="20"/>
              </w:rPr>
            </w:pPr>
            <w:r>
              <w:rPr>
                <w:rFonts w:hint="eastAsia" w:ascii="Times New Roman" w:hAnsi="Times New Roman" w:eastAsia="宋体" w:cs="Times New Roman"/>
                <w:kern w:val="0"/>
                <w:sz w:val="20"/>
                <w:szCs w:val="20"/>
              </w:rPr>
              <w:t>2.免费居住人才公寓（或给予租房补贴）3年，享受“购房券”待遇，本科生、硕士研究生、博士研究生发放标准分别为8万元、15万元、25万元；</w:t>
            </w:r>
          </w:p>
          <w:p>
            <w:pPr>
              <w:widowControl/>
              <w:spacing w:line="240" w:lineRule="exac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3.因选聘名额限制未被录用的，根据个人意愿及专业匹配度，可推荐至泰兴市开发园区、国有企业就业。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92" w:hRule="atLeast"/>
          <w:jc w:val="center"/>
        </w:trPr>
        <w:tc>
          <w:tcPr>
            <w:tcW w:w="300"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泰兴市</w:t>
            </w:r>
          </w:p>
        </w:tc>
        <w:tc>
          <w:tcPr>
            <w:tcW w:w="191"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3A</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泰兴市</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青年人才储备中心</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法律类</w:t>
            </w:r>
          </w:p>
        </w:tc>
        <w:tc>
          <w:tcPr>
            <w:tcW w:w="228"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3A1-5</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本科</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及以上</w:t>
            </w:r>
          </w:p>
        </w:tc>
        <w:tc>
          <w:tcPr>
            <w:tcW w:w="912" w:type="pct"/>
            <w:shd w:val="clear" w:color="auto" w:fill="auto"/>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r>
              <w:rPr>
                <w:rFonts w:hint="eastAsia" w:ascii="Times New Roman" w:hAnsi="Times New Roman" w:eastAsia="宋体" w:cs="宋体"/>
                <w:kern w:val="0"/>
                <w:sz w:val="20"/>
                <w:szCs w:val="20"/>
              </w:rPr>
              <w:t>法学，律师，民商法，法律，法学（法务金融），法学（法务会计），宪法学与行政法学，民商法学（含：劳动法学、社会保障法学），诉讼法，诉讼法学，经济法学，环境与资源保护法学，法律硕士，法律（法学），法律（非法学），法律硕士（法学），法律硕士（非法学），经济法</w:t>
            </w:r>
          </w:p>
        </w:tc>
        <w:tc>
          <w:tcPr>
            <w:tcW w:w="846" w:type="pct"/>
            <w:vMerge w:val="continue"/>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345" w:type="pct"/>
            <w:vMerge w:val="continue"/>
            <w:shd w:val="clear" w:color="auto" w:fill="auto"/>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kern w:val="0"/>
                <w:sz w:val="20"/>
                <w:szCs w:val="20"/>
              </w:rPr>
            </w:pPr>
          </w:p>
        </w:tc>
        <w:tc>
          <w:tcPr>
            <w:tcW w:w="183" w:type="pct"/>
            <w:vMerge w:val="continue"/>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267" w:type="pct"/>
            <w:vMerge w:val="continue"/>
            <w:shd w:val="clear" w:color="auto" w:fill="auto"/>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582" w:type="pct"/>
            <w:vMerge w:val="continue"/>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3" w:hRule="atLeast"/>
          <w:jc w:val="center"/>
        </w:trPr>
        <w:tc>
          <w:tcPr>
            <w:tcW w:w="300"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泰兴市</w:t>
            </w:r>
          </w:p>
        </w:tc>
        <w:tc>
          <w:tcPr>
            <w:tcW w:w="191"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3A</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泰兴市</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青年人才储备中心</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城建</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规划类</w:t>
            </w:r>
          </w:p>
        </w:tc>
        <w:tc>
          <w:tcPr>
            <w:tcW w:w="228"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3A1-6</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本科</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及以上</w:t>
            </w:r>
          </w:p>
        </w:tc>
        <w:tc>
          <w:tcPr>
            <w:tcW w:w="912" w:type="pct"/>
            <w:shd w:val="clear" w:color="auto" w:fill="auto"/>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r>
              <w:rPr>
                <w:rFonts w:hint="eastAsia" w:ascii="Times New Roman" w:hAnsi="Times New Roman" w:eastAsia="宋体" w:cs="宋体"/>
                <w:kern w:val="0"/>
                <w:sz w:val="20"/>
                <w:szCs w:val="20"/>
              </w:rPr>
              <w:t>建筑学，城市规划，人文地理与城乡规划，城乡规划，资源环境与城乡规划管理，环境设计，土木工程，给排水科学与工程，道路桥梁与渡河工程，城市管理，水利水电工程，水利工程，交通工程，城乡规划学，城市规划与设计，市政工程，城市与区域规划，建筑与土木工程，土木水利，道路与铁道工程，水工结构工程，结构工程</w:t>
            </w:r>
          </w:p>
        </w:tc>
        <w:tc>
          <w:tcPr>
            <w:tcW w:w="846" w:type="pct"/>
            <w:vMerge w:val="restart"/>
            <w:shd w:val="clear" w:color="auto" w:fill="auto"/>
            <w:tcMar>
              <w:top w:w="28" w:type="dxa"/>
              <w:left w:w="57" w:type="dxa"/>
              <w:bottom w:w="28" w:type="dxa"/>
              <w:right w:w="57" w:type="dxa"/>
            </w:tcMar>
            <w:vAlign w:val="center"/>
          </w:tcPr>
          <w:p>
            <w:pPr>
              <w:widowControl/>
              <w:spacing w:line="240" w:lineRule="exact"/>
              <w:rPr>
                <w:rFonts w:ascii="Times New Roman" w:hAnsi="Times New Roman" w:eastAsia="宋体" w:cs="Times New Roman"/>
                <w:kern w:val="0"/>
                <w:sz w:val="20"/>
                <w:szCs w:val="20"/>
              </w:rPr>
            </w:pPr>
            <w:r>
              <w:rPr>
                <w:rFonts w:ascii="Times New Roman" w:hAnsi="Times New Roman" w:eastAsia="宋体" w:cs="Times New Roman"/>
                <w:kern w:val="0"/>
                <w:sz w:val="20"/>
                <w:szCs w:val="20"/>
              </w:rPr>
              <w:t>1.C9</w:t>
            </w:r>
            <w:r>
              <w:rPr>
                <w:rFonts w:hint="eastAsia" w:ascii="宋体" w:hAnsi="宋体" w:eastAsia="宋体" w:cs="Times New Roman"/>
                <w:kern w:val="0"/>
                <w:sz w:val="20"/>
                <w:szCs w:val="20"/>
              </w:rPr>
              <w:t>重点高校（清华大学、北京大学、复旦大学、上海交通大学、南京大学、浙江大学、中国科学技术大学、哈尔滨工业大学、西安交通大学，下同）全日制本科学历毕业生；</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2.C9</w:t>
            </w:r>
            <w:r>
              <w:rPr>
                <w:rFonts w:hint="eastAsia" w:ascii="宋体" w:hAnsi="宋体" w:eastAsia="宋体" w:cs="Times New Roman"/>
                <w:kern w:val="0"/>
                <w:sz w:val="20"/>
                <w:szCs w:val="20"/>
              </w:rPr>
              <w:t>重点高校全日制硕士研究生及以上学历毕业生（本科和研究生阶段均须为第二轮</w:t>
            </w:r>
            <w:r>
              <w:rPr>
                <w:rFonts w:hint="eastAsia" w:ascii="Times New Roman" w:hAnsi="Times New Roman" w:eastAsia="宋体" w:cs="Times New Roman"/>
                <w:kern w:val="0"/>
                <w:sz w:val="20"/>
                <w:szCs w:val="20"/>
              </w:rPr>
              <w:t>“</w:t>
            </w:r>
            <w:r>
              <w:rPr>
                <w:rFonts w:hint="eastAsia" w:ascii="宋体" w:hAnsi="宋体" w:eastAsia="宋体" w:cs="Times New Roman"/>
                <w:kern w:val="0"/>
                <w:sz w:val="20"/>
                <w:szCs w:val="20"/>
              </w:rPr>
              <w:t>双一流</w:t>
            </w:r>
            <w:r>
              <w:rPr>
                <w:rFonts w:hint="eastAsia" w:ascii="Times New Roman" w:hAnsi="Times New Roman" w:eastAsia="宋体" w:cs="Times New Roman"/>
                <w:kern w:val="0"/>
                <w:sz w:val="20"/>
                <w:szCs w:val="20"/>
              </w:rPr>
              <w:t>”</w:t>
            </w:r>
            <w:r>
              <w:rPr>
                <w:rFonts w:hint="eastAsia" w:ascii="宋体" w:hAnsi="宋体" w:eastAsia="宋体" w:cs="Times New Roman"/>
                <w:kern w:val="0"/>
                <w:sz w:val="20"/>
                <w:szCs w:val="20"/>
              </w:rPr>
              <w:t>建设高校全日制毕业生）；</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3.</w:t>
            </w:r>
            <w:r>
              <w:rPr>
                <w:rFonts w:hint="eastAsia" w:ascii="宋体" w:hAnsi="宋体" w:eastAsia="宋体" w:cs="Times New Roman"/>
                <w:kern w:val="0"/>
                <w:sz w:val="20"/>
                <w:szCs w:val="20"/>
              </w:rPr>
              <w:t>法律类岗位须取得国家法律职业资格证书（</w:t>
            </w:r>
            <w:r>
              <w:rPr>
                <w:rFonts w:ascii="Times New Roman" w:hAnsi="Times New Roman" w:eastAsia="宋体" w:cs="Times New Roman"/>
                <w:kern w:val="0"/>
                <w:sz w:val="20"/>
                <w:szCs w:val="20"/>
              </w:rPr>
              <w:t>A</w:t>
            </w:r>
            <w:r>
              <w:rPr>
                <w:rFonts w:hint="eastAsia" w:ascii="宋体" w:hAnsi="宋体" w:eastAsia="宋体" w:cs="Times New Roman"/>
                <w:kern w:val="0"/>
                <w:sz w:val="20"/>
                <w:szCs w:val="20"/>
              </w:rPr>
              <w:t>类）。</w:t>
            </w:r>
          </w:p>
        </w:tc>
        <w:tc>
          <w:tcPr>
            <w:tcW w:w="345" w:type="pct"/>
            <w:vMerge w:val="restart"/>
            <w:shd w:val="clear" w:color="auto" w:fill="auto"/>
            <w:tcMar>
              <w:top w:w="28" w:type="dxa"/>
              <w:left w:w="57" w:type="dxa"/>
              <w:bottom w:w="28" w:type="dxa"/>
              <w:right w:w="57" w:type="dxa"/>
            </w:tcMar>
            <w:vAlign w:val="center"/>
          </w:tcPr>
          <w:p>
            <w:pPr>
              <w:widowControl/>
              <w:spacing w:line="240" w:lineRule="exact"/>
              <w:jc w:val="both"/>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报名网址：</w:t>
            </w:r>
            <w:r>
              <w:rPr>
                <w:rFonts w:hint="default" w:ascii="Times New Roman" w:hAnsi="Times New Roman" w:eastAsia="宋体" w:cs="Times New Roman"/>
                <w:color w:val="auto"/>
                <w:kern w:val="0"/>
                <w:sz w:val="20"/>
                <w:szCs w:val="20"/>
                <w:u w:val="none"/>
              </w:rPr>
              <w:fldChar w:fldCharType="begin"/>
            </w:r>
            <w:r>
              <w:rPr>
                <w:rFonts w:hint="default" w:ascii="Times New Roman" w:hAnsi="Times New Roman" w:eastAsia="宋体" w:cs="Times New Roman"/>
                <w:color w:val="auto"/>
                <w:kern w:val="0"/>
                <w:sz w:val="20"/>
                <w:szCs w:val="20"/>
                <w:u w:val="none"/>
              </w:rPr>
              <w:instrText xml:space="preserve"> HYPERLINK "http://www.tzjob.com" </w:instrText>
            </w:r>
            <w:r>
              <w:rPr>
                <w:rFonts w:hint="default" w:ascii="Times New Roman" w:hAnsi="Times New Roman" w:eastAsia="宋体" w:cs="Times New Roman"/>
                <w:color w:val="auto"/>
                <w:kern w:val="0"/>
                <w:sz w:val="20"/>
                <w:szCs w:val="20"/>
                <w:u w:val="none"/>
              </w:rPr>
              <w:fldChar w:fldCharType="separate"/>
            </w:r>
            <w:r>
              <w:rPr>
                <w:rStyle w:val="6"/>
                <w:rFonts w:hint="default" w:ascii="Times New Roman" w:hAnsi="Times New Roman" w:eastAsia="宋体" w:cs="Times New Roman"/>
                <w:color w:val="auto"/>
                <w:kern w:val="0"/>
                <w:sz w:val="20"/>
                <w:szCs w:val="20"/>
                <w:u w:val="none"/>
              </w:rPr>
              <w:t>www.tzjob.com</w:t>
            </w:r>
            <w:r>
              <w:rPr>
                <w:rFonts w:hint="default" w:ascii="Times New Roman" w:hAnsi="Times New Roman" w:eastAsia="宋体" w:cs="Times New Roman"/>
                <w:color w:val="auto"/>
                <w:kern w:val="0"/>
                <w:sz w:val="20"/>
                <w:szCs w:val="20"/>
                <w:u w:val="none"/>
              </w:rPr>
              <w:fldChar w:fldCharType="end"/>
            </w:r>
          </w:p>
          <w:p>
            <w:pPr>
              <w:widowControl/>
              <w:spacing w:line="240" w:lineRule="exact"/>
              <w:jc w:val="both"/>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电子邮箱：txzzbghb@126.com</w:t>
            </w:r>
          </w:p>
          <w:p>
            <w:pPr>
              <w:widowControl/>
              <w:spacing w:line="240" w:lineRule="exact"/>
              <w:jc w:val="both"/>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咨询电话：</w:t>
            </w:r>
          </w:p>
          <w:p>
            <w:pPr>
              <w:widowControl/>
              <w:spacing w:line="240" w:lineRule="exact"/>
              <w:jc w:val="both"/>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13512550991；</w:t>
            </w:r>
          </w:p>
          <w:p>
            <w:pPr>
              <w:widowControl/>
              <w:spacing w:line="240" w:lineRule="exact"/>
              <w:jc w:val="both"/>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18994713397。</w:t>
            </w:r>
          </w:p>
        </w:tc>
        <w:tc>
          <w:tcPr>
            <w:tcW w:w="183" w:type="pct"/>
            <w:vMerge w:val="restar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267" w:type="pct"/>
            <w:vMerge w:val="restar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综评</w:t>
            </w:r>
            <w:r>
              <w:rPr>
                <w:rFonts w:ascii="Times New Roman" w:hAnsi="Times New Roman" w:eastAsia="宋体" w:cs="Times New Roman"/>
                <w:kern w:val="0"/>
                <w:sz w:val="20"/>
                <w:szCs w:val="20"/>
              </w:rPr>
              <w:t>+</w:t>
            </w:r>
            <w:r>
              <w:rPr>
                <w:rFonts w:hint="eastAsia" w:ascii="宋体" w:hAnsi="宋体" w:eastAsia="宋体" w:cs="宋体"/>
                <w:kern w:val="0"/>
                <w:sz w:val="20"/>
                <w:szCs w:val="20"/>
              </w:rPr>
              <w:t>面试</w:t>
            </w:r>
          </w:p>
        </w:tc>
        <w:tc>
          <w:tcPr>
            <w:tcW w:w="582" w:type="pct"/>
            <w:vMerge w:val="restart"/>
            <w:shd w:val="clear" w:color="auto" w:fill="auto"/>
            <w:tcMar>
              <w:top w:w="28" w:type="dxa"/>
              <w:left w:w="57" w:type="dxa"/>
              <w:bottom w:w="28" w:type="dxa"/>
              <w:right w:w="57" w:type="dxa"/>
            </w:tcMar>
            <w:vAlign w:val="center"/>
          </w:tcPr>
          <w:p>
            <w:pPr>
              <w:widowControl/>
              <w:spacing w:line="240" w:lineRule="exact"/>
              <w:rPr>
                <w:rFonts w:hint="eastAsia" w:ascii="Times New Roman" w:hAnsi="Times New Roman" w:eastAsia="宋体" w:cs="Times New Roman"/>
                <w:kern w:val="0"/>
                <w:sz w:val="20"/>
                <w:szCs w:val="20"/>
              </w:rPr>
            </w:pPr>
            <w:r>
              <w:rPr>
                <w:rFonts w:hint="eastAsia" w:ascii="Times New Roman" w:hAnsi="Times New Roman" w:eastAsia="宋体" w:cs="Times New Roman"/>
                <w:kern w:val="0"/>
                <w:sz w:val="20"/>
                <w:szCs w:val="20"/>
              </w:rPr>
              <w:t>1.本科生、硕士研究生、博士研究生（按符合招聘要求的最高学历）年薪分别不低于30万元、35万元、40万元（包含个人需缴纳的医保费用、养老保险、职业年金、住房公积金和个人所得税）；试用期满考核合格的，分别发放一次性入职奖励15万元、20万元、30万元；</w:t>
            </w:r>
          </w:p>
          <w:p>
            <w:pPr>
              <w:widowControl/>
              <w:spacing w:line="240" w:lineRule="exact"/>
              <w:rPr>
                <w:rFonts w:hint="eastAsia" w:ascii="Times New Roman" w:hAnsi="Times New Roman" w:eastAsia="宋体" w:cs="Times New Roman"/>
                <w:kern w:val="0"/>
                <w:sz w:val="20"/>
                <w:szCs w:val="20"/>
              </w:rPr>
            </w:pPr>
            <w:r>
              <w:rPr>
                <w:rFonts w:hint="eastAsia" w:ascii="Times New Roman" w:hAnsi="Times New Roman" w:eastAsia="宋体" w:cs="Times New Roman"/>
                <w:kern w:val="0"/>
                <w:sz w:val="20"/>
                <w:szCs w:val="20"/>
              </w:rPr>
              <w:t>2.免费居住人才公寓（或给予租房补贴）3年，享受“购房券”待遇，本科生、硕士研究生、博士研究生发放标准分别为8万元、15万元、25万元；</w:t>
            </w:r>
          </w:p>
          <w:p>
            <w:pPr>
              <w:widowControl/>
              <w:spacing w:line="240" w:lineRule="exac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3.因选聘名额限制未被录用的，根据个人意愿及专业匹配度，可推荐至泰兴市开发园区、国有企业就业。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934" w:hRule="atLeast"/>
          <w:jc w:val="center"/>
        </w:trPr>
        <w:tc>
          <w:tcPr>
            <w:tcW w:w="300"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泰兴市</w:t>
            </w:r>
          </w:p>
        </w:tc>
        <w:tc>
          <w:tcPr>
            <w:tcW w:w="191"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3A</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泰兴市</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青年人才储备中心</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计算机类</w:t>
            </w:r>
          </w:p>
        </w:tc>
        <w:tc>
          <w:tcPr>
            <w:tcW w:w="228"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3A1-7</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本科</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及以上</w:t>
            </w:r>
          </w:p>
        </w:tc>
        <w:tc>
          <w:tcPr>
            <w:tcW w:w="912" w:type="pct"/>
            <w:shd w:val="clear" w:color="auto" w:fill="auto"/>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r>
              <w:rPr>
                <w:rFonts w:hint="eastAsia" w:ascii="Times New Roman" w:hAnsi="Times New Roman" w:eastAsia="宋体" w:cs="宋体"/>
                <w:kern w:val="0"/>
                <w:sz w:val="20"/>
                <w:szCs w:val="20"/>
              </w:rPr>
              <w:t>计算机科学与技术，电子与计算机工程，计算机通信工程，计算机及应用，通信工程，信息管理与信息系统，数据科学与大数据技术，信息工程，大数据管理与应用，计算机软件，软件工程，计算机应用软件，信息与计算科学，数字媒体技术，信息技术应用与管理，网络工程，信息安全，网络空间安全，计算机技术及其应用，计算机系统结构，计算机应用技术，系统工程，计算机技术，计算机软件与理论</w:t>
            </w:r>
          </w:p>
        </w:tc>
        <w:tc>
          <w:tcPr>
            <w:tcW w:w="846" w:type="pct"/>
            <w:vMerge w:val="continue"/>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345" w:type="pct"/>
            <w:vMerge w:val="continue"/>
            <w:shd w:val="clear" w:color="auto" w:fill="auto"/>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kern w:val="0"/>
                <w:sz w:val="20"/>
                <w:szCs w:val="20"/>
              </w:rPr>
            </w:pPr>
          </w:p>
        </w:tc>
        <w:tc>
          <w:tcPr>
            <w:tcW w:w="183" w:type="pct"/>
            <w:vMerge w:val="continue"/>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267" w:type="pct"/>
            <w:vMerge w:val="continue"/>
            <w:shd w:val="clear" w:color="auto" w:fill="auto"/>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582" w:type="pct"/>
            <w:vMerge w:val="continue"/>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300"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泰兴市</w:t>
            </w:r>
          </w:p>
        </w:tc>
        <w:tc>
          <w:tcPr>
            <w:tcW w:w="191"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3A</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泰兴市</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青年人才储备中心</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综合类</w:t>
            </w:r>
            <w:r>
              <w:rPr>
                <w:rFonts w:ascii="Times New Roman" w:hAnsi="Times New Roman" w:eastAsia="宋体" w:cs="Times New Roman"/>
                <w:kern w:val="0"/>
                <w:sz w:val="20"/>
                <w:szCs w:val="20"/>
              </w:rPr>
              <w:br w:type="textWrapping"/>
            </w:r>
            <w:r>
              <w:rPr>
                <w:rFonts w:hint="eastAsia" w:ascii="宋体" w:hAnsi="宋体" w:eastAsia="宋体" w:cs="宋体"/>
                <w:kern w:val="0"/>
                <w:sz w:val="20"/>
                <w:szCs w:val="20"/>
              </w:rPr>
              <w:t>（男生）</w:t>
            </w:r>
          </w:p>
        </w:tc>
        <w:tc>
          <w:tcPr>
            <w:tcW w:w="228"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3A2-1</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本科</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及以上</w:t>
            </w:r>
          </w:p>
        </w:tc>
        <w:tc>
          <w:tcPr>
            <w:tcW w:w="912"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不限</w:t>
            </w:r>
          </w:p>
        </w:tc>
        <w:tc>
          <w:tcPr>
            <w:tcW w:w="846" w:type="pct"/>
            <w:vMerge w:val="restart"/>
            <w:shd w:val="clear" w:color="auto" w:fill="auto"/>
            <w:tcMar>
              <w:top w:w="28" w:type="dxa"/>
              <w:left w:w="57" w:type="dxa"/>
              <w:bottom w:w="28" w:type="dxa"/>
              <w:right w:w="57" w:type="dxa"/>
            </w:tcMar>
            <w:vAlign w:val="center"/>
          </w:tcPr>
          <w:p>
            <w:pPr>
              <w:widowControl/>
              <w:spacing w:line="240" w:lineRule="exact"/>
              <w:rPr>
                <w:rFonts w:ascii="Times New Roman" w:hAnsi="Times New Roman" w:eastAsia="宋体" w:cs="Times New Roman"/>
                <w:kern w:val="0"/>
                <w:sz w:val="20"/>
                <w:szCs w:val="20"/>
              </w:rPr>
            </w:pPr>
            <w:r>
              <w:rPr>
                <w:rFonts w:ascii="Times New Roman" w:hAnsi="Times New Roman" w:eastAsia="宋体" w:cs="Times New Roman"/>
                <w:kern w:val="0"/>
                <w:sz w:val="20"/>
                <w:szCs w:val="20"/>
              </w:rPr>
              <w:t>1.</w:t>
            </w:r>
            <w:r>
              <w:rPr>
                <w:rFonts w:hint="eastAsia" w:ascii="宋体" w:hAnsi="宋体" w:eastAsia="宋体" w:cs="Times New Roman"/>
                <w:kern w:val="0"/>
                <w:sz w:val="20"/>
                <w:szCs w:val="20"/>
              </w:rPr>
              <w:t>第一轮</w:t>
            </w:r>
            <w:r>
              <w:rPr>
                <w:rFonts w:hint="eastAsia" w:ascii="Times New Roman" w:hAnsi="Times New Roman" w:eastAsia="宋体" w:cs="Times New Roman"/>
                <w:kern w:val="0"/>
                <w:sz w:val="20"/>
                <w:szCs w:val="20"/>
              </w:rPr>
              <w:t>“</w:t>
            </w:r>
            <w:r>
              <w:rPr>
                <w:rFonts w:hint="eastAsia" w:ascii="宋体" w:hAnsi="宋体" w:eastAsia="宋体" w:cs="Times New Roman"/>
                <w:kern w:val="0"/>
                <w:sz w:val="20"/>
                <w:szCs w:val="20"/>
              </w:rPr>
              <w:t>一流大学</w:t>
            </w:r>
            <w:r>
              <w:rPr>
                <w:rFonts w:hint="eastAsia" w:ascii="Times New Roman" w:hAnsi="Times New Roman" w:eastAsia="宋体" w:cs="Times New Roman"/>
                <w:kern w:val="0"/>
                <w:sz w:val="20"/>
                <w:szCs w:val="20"/>
              </w:rPr>
              <w:t>”</w:t>
            </w:r>
            <w:r>
              <w:rPr>
                <w:rFonts w:hint="eastAsia" w:ascii="宋体" w:hAnsi="宋体" w:eastAsia="宋体" w:cs="Times New Roman"/>
                <w:kern w:val="0"/>
                <w:sz w:val="20"/>
                <w:szCs w:val="20"/>
              </w:rPr>
              <w:t>建设高校全日制本科及以上学历毕业生；</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2.</w:t>
            </w:r>
            <w:r>
              <w:rPr>
                <w:rFonts w:hint="eastAsia" w:ascii="宋体" w:hAnsi="宋体" w:eastAsia="宋体" w:cs="Times New Roman"/>
                <w:kern w:val="0"/>
                <w:sz w:val="20"/>
                <w:szCs w:val="20"/>
              </w:rPr>
              <w:t>第二轮</w:t>
            </w:r>
            <w:r>
              <w:rPr>
                <w:rFonts w:hint="eastAsia" w:ascii="Times New Roman" w:hAnsi="Times New Roman" w:eastAsia="宋体" w:cs="Times New Roman"/>
                <w:kern w:val="0"/>
                <w:sz w:val="20"/>
                <w:szCs w:val="20"/>
              </w:rPr>
              <w:t>“</w:t>
            </w:r>
            <w:r>
              <w:rPr>
                <w:rFonts w:hint="eastAsia" w:ascii="宋体" w:hAnsi="宋体" w:eastAsia="宋体" w:cs="Times New Roman"/>
                <w:kern w:val="0"/>
                <w:sz w:val="20"/>
                <w:szCs w:val="20"/>
              </w:rPr>
              <w:t>双一流</w:t>
            </w:r>
            <w:r>
              <w:rPr>
                <w:rFonts w:hint="eastAsia" w:ascii="Times New Roman" w:hAnsi="Times New Roman" w:eastAsia="宋体" w:cs="Times New Roman"/>
                <w:kern w:val="0"/>
                <w:sz w:val="20"/>
                <w:szCs w:val="20"/>
              </w:rPr>
              <w:t>”</w:t>
            </w:r>
            <w:r>
              <w:rPr>
                <w:rFonts w:hint="eastAsia" w:ascii="宋体" w:hAnsi="宋体" w:eastAsia="宋体" w:cs="Times New Roman"/>
                <w:kern w:val="0"/>
                <w:sz w:val="20"/>
                <w:szCs w:val="20"/>
              </w:rPr>
              <w:t>建设高校全日制硕士研究生及以上学历毕业生；</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3.</w:t>
            </w:r>
            <w:r>
              <w:rPr>
                <w:rFonts w:hint="eastAsia" w:ascii="宋体" w:hAnsi="宋体" w:eastAsia="宋体" w:cs="Times New Roman"/>
                <w:kern w:val="0"/>
                <w:sz w:val="20"/>
                <w:szCs w:val="20"/>
              </w:rPr>
              <w:t>最新世界大学排名榜单（</w:t>
            </w:r>
            <w:r>
              <w:rPr>
                <w:rFonts w:ascii="Times New Roman" w:hAnsi="Times New Roman" w:eastAsia="宋体" w:cs="Times New Roman"/>
                <w:kern w:val="0"/>
                <w:sz w:val="20"/>
                <w:szCs w:val="20"/>
              </w:rPr>
              <w:t>QS</w:t>
            </w:r>
            <w:r>
              <w:rPr>
                <w:rFonts w:hint="eastAsia" w:ascii="宋体" w:hAnsi="宋体" w:eastAsia="宋体" w:cs="Times New Roman"/>
                <w:kern w:val="0"/>
                <w:sz w:val="20"/>
                <w:szCs w:val="20"/>
              </w:rPr>
              <w:t>、</w:t>
            </w:r>
            <w:r>
              <w:rPr>
                <w:rFonts w:ascii="Times New Roman" w:hAnsi="Times New Roman" w:eastAsia="宋体" w:cs="Times New Roman"/>
                <w:kern w:val="0"/>
                <w:sz w:val="20"/>
                <w:szCs w:val="20"/>
              </w:rPr>
              <w:t>THE</w:t>
            </w:r>
            <w:r>
              <w:rPr>
                <w:rFonts w:hint="eastAsia" w:ascii="宋体" w:hAnsi="宋体" w:eastAsia="宋体" w:cs="Times New Roman"/>
                <w:kern w:val="0"/>
                <w:sz w:val="20"/>
                <w:szCs w:val="20"/>
              </w:rPr>
              <w:t>、</w:t>
            </w:r>
            <w:r>
              <w:rPr>
                <w:rFonts w:ascii="Times New Roman" w:hAnsi="Times New Roman" w:eastAsia="宋体" w:cs="Times New Roman"/>
                <w:kern w:val="0"/>
                <w:sz w:val="20"/>
                <w:szCs w:val="20"/>
              </w:rPr>
              <w:t>U.S.NEWS</w:t>
            </w:r>
            <w:r>
              <w:rPr>
                <w:rFonts w:hint="eastAsia" w:ascii="宋体" w:hAnsi="宋体" w:eastAsia="宋体" w:cs="Times New Roman"/>
                <w:kern w:val="0"/>
                <w:sz w:val="20"/>
                <w:szCs w:val="20"/>
              </w:rPr>
              <w:t>、</w:t>
            </w:r>
            <w:r>
              <w:rPr>
                <w:rFonts w:ascii="Times New Roman" w:hAnsi="Times New Roman" w:eastAsia="宋体" w:cs="Times New Roman"/>
                <w:kern w:val="0"/>
                <w:sz w:val="20"/>
                <w:szCs w:val="20"/>
              </w:rPr>
              <w:t>ARWU</w:t>
            </w:r>
            <w:r>
              <w:rPr>
                <w:rFonts w:hint="eastAsia" w:ascii="宋体" w:hAnsi="宋体" w:eastAsia="宋体" w:cs="Times New Roman"/>
                <w:kern w:val="0"/>
                <w:sz w:val="20"/>
                <w:szCs w:val="20"/>
              </w:rPr>
              <w:t>、</w:t>
            </w:r>
            <w:r>
              <w:rPr>
                <w:rFonts w:ascii="Times New Roman" w:hAnsi="Times New Roman" w:eastAsia="宋体" w:cs="Times New Roman"/>
                <w:kern w:val="0"/>
                <w:sz w:val="20"/>
                <w:szCs w:val="20"/>
              </w:rPr>
              <w:t>CWUR</w:t>
            </w:r>
            <w:r>
              <w:rPr>
                <w:rFonts w:hint="eastAsia" w:ascii="宋体" w:hAnsi="宋体" w:eastAsia="宋体" w:cs="Times New Roman"/>
                <w:kern w:val="0"/>
                <w:sz w:val="20"/>
                <w:szCs w:val="20"/>
              </w:rPr>
              <w:t>）前</w:t>
            </w:r>
            <w:r>
              <w:rPr>
                <w:rFonts w:ascii="Times New Roman" w:hAnsi="Times New Roman" w:eastAsia="宋体" w:cs="Times New Roman"/>
                <w:kern w:val="0"/>
                <w:sz w:val="20"/>
                <w:szCs w:val="20"/>
              </w:rPr>
              <w:t>100</w:t>
            </w:r>
            <w:r>
              <w:rPr>
                <w:rFonts w:hint="eastAsia" w:ascii="宋体" w:hAnsi="宋体" w:eastAsia="宋体" w:cs="Times New Roman"/>
                <w:kern w:val="0"/>
                <w:sz w:val="20"/>
                <w:szCs w:val="20"/>
              </w:rPr>
              <w:t>名国（境）外高校的全日制硕士研究生及以上学历毕业生。</w:t>
            </w:r>
          </w:p>
        </w:tc>
        <w:tc>
          <w:tcPr>
            <w:tcW w:w="345" w:type="pct"/>
            <w:vMerge w:val="restart"/>
            <w:shd w:val="clear" w:color="auto" w:fill="auto"/>
            <w:tcMar>
              <w:top w:w="28" w:type="dxa"/>
              <w:left w:w="57" w:type="dxa"/>
              <w:bottom w:w="28" w:type="dxa"/>
              <w:right w:w="57" w:type="dxa"/>
            </w:tcMar>
            <w:vAlign w:val="center"/>
          </w:tcPr>
          <w:p>
            <w:pPr>
              <w:widowControl/>
              <w:spacing w:line="240" w:lineRule="exact"/>
              <w:jc w:val="both"/>
              <w:rPr>
                <w:rFonts w:hint="default" w:ascii="Times New Roman" w:hAnsi="Times New Roman" w:eastAsia="宋体" w:cs="Times New Roman"/>
                <w:color w:val="auto"/>
                <w:kern w:val="0"/>
                <w:sz w:val="20"/>
                <w:szCs w:val="20"/>
                <w:u w:val="none"/>
              </w:rPr>
            </w:pPr>
            <w:r>
              <w:rPr>
                <w:rFonts w:hint="default" w:ascii="Times New Roman" w:hAnsi="Times New Roman" w:eastAsia="宋体" w:cs="Times New Roman"/>
                <w:kern w:val="0"/>
                <w:sz w:val="20"/>
                <w:szCs w:val="20"/>
              </w:rPr>
              <w:t>报名网址：</w:t>
            </w:r>
            <w:r>
              <w:rPr>
                <w:rFonts w:hint="default" w:ascii="Times New Roman" w:hAnsi="Times New Roman" w:eastAsia="宋体" w:cs="Times New Roman"/>
                <w:color w:val="auto"/>
                <w:kern w:val="0"/>
                <w:sz w:val="20"/>
                <w:szCs w:val="20"/>
                <w:u w:val="none"/>
              </w:rPr>
              <w:fldChar w:fldCharType="begin"/>
            </w:r>
            <w:r>
              <w:rPr>
                <w:rFonts w:hint="default" w:ascii="Times New Roman" w:hAnsi="Times New Roman" w:eastAsia="宋体" w:cs="Times New Roman"/>
                <w:color w:val="auto"/>
                <w:kern w:val="0"/>
                <w:sz w:val="20"/>
                <w:szCs w:val="20"/>
                <w:u w:val="none"/>
              </w:rPr>
              <w:instrText xml:space="preserve"> HYPERLINK "http://www.tzjob.com" </w:instrText>
            </w:r>
            <w:r>
              <w:rPr>
                <w:rFonts w:hint="default" w:ascii="Times New Roman" w:hAnsi="Times New Roman" w:eastAsia="宋体" w:cs="Times New Roman"/>
                <w:color w:val="auto"/>
                <w:kern w:val="0"/>
                <w:sz w:val="20"/>
                <w:szCs w:val="20"/>
                <w:u w:val="none"/>
              </w:rPr>
              <w:fldChar w:fldCharType="separate"/>
            </w:r>
            <w:r>
              <w:rPr>
                <w:rStyle w:val="6"/>
                <w:rFonts w:hint="default" w:ascii="Times New Roman" w:hAnsi="Times New Roman" w:eastAsia="宋体" w:cs="Times New Roman"/>
                <w:color w:val="auto"/>
                <w:kern w:val="0"/>
                <w:sz w:val="20"/>
                <w:szCs w:val="20"/>
                <w:u w:val="none"/>
              </w:rPr>
              <w:t>www.tzjob.com</w:t>
            </w:r>
            <w:r>
              <w:rPr>
                <w:rFonts w:hint="default" w:ascii="Times New Roman" w:hAnsi="Times New Roman" w:eastAsia="宋体" w:cs="Times New Roman"/>
                <w:color w:val="auto"/>
                <w:kern w:val="0"/>
                <w:sz w:val="20"/>
                <w:szCs w:val="20"/>
                <w:u w:val="none"/>
              </w:rPr>
              <w:fldChar w:fldCharType="end"/>
            </w:r>
          </w:p>
          <w:p>
            <w:pPr>
              <w:widowControl/>
              <w:spacing w:line="240" w:lineRule="exact"/>
              <w:jc w:val="both"/>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电子邮箱：txzzbghb@126.com</w:t>
            </w:r>
          </w:p>
          <w:p>
            <w:pPr>
              <w:widowControl/>
              <w:spacing w:line="240" w:lineRule="exact"/>
              <w:jc w:val="both"/>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咨询电话：</w:t>
            </w:r>
          </w:p>
          <w:p>
            <w:pPr>
              <w:widowControl/>
              <w:spacing w:line="240" w:lineRule="exact"/>
              <w:jc w:val="both"/>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13512550991；</w:t>
            </w:r>
          </w:p>
          <w:p>
            <w:pPr>
              <w:widowControl/>
              <w:spacing w:line="240" w:lineRule="exact"/>
              <w:jc w:val="both"/>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18994713397。</w:t>
            </w:r>
          </w:p>
        </w:tc>
        <w:tc>
          <w:tcPr>
            <w:tcW w:w="183" w:type="pct"/>
            <w:vMerge w:val="restar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267" w:type="pct"/>
            <w:vMerge w:val="restar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综评+面试</w:t>
            </w:r>
          </w:p>
        </w:tc>
        <w:tc>
          <w:tcPr>
            <w:tcW w:w="582" w:type="pct"/>
            <w:vMerge w:val="restart"/>
            <w:shd w:val="clear" w:color="auto" w:fill="auto"/>
            <w:tcMar>
              <w:top w:w="28" w:type="dxa"/>
              <w:left w:w="57" w:type="dxa"/>
              <w:bottom w:w="28" w:type="dxa"/>
              <w:right w:w="57" w:type="dxa"/>
            </w:tcMar>
            <w:vAlign w:val="center"/>
          </w:tcPr>
          <w:p>
            <w:pPr>
              <w:widowControl/>
              <w:spacing w:line="240" w:lineRule="exact"/>
              <w:rPr>
                <w:rFonts w:hint="eastAsia" w:ascii="Times New Roman" w:hAnsi="Times New Roman" w:eastAsia="宋体" w:cs="Times New Roman"/>
                <w:kern w:val="0"/>
                <w:sz w:val="20"/>
                <w:szCs w:val="20"/>
              </w:rPr>
            </w:pPr>
            <w:r>
              <w:rPr>
                <w:rFonts w:hint="eastAsia" w:ascii="Times New Roman" w:hAnsi="Times New Roman" w:eastAsia="宋体" w:cs="Times New Roman"/>
                <w:kern w:val="0"/>
                <w:sz w:val="20"/>
                <w:szCs w:val="20"/>
              </w:rPr>
              <w:t>1.免费居住人才公寓（或给予租房补贴）3年；</w:t>
            </w:r>
          </w:p>
          <w:p>
            <w:pPr>
              <w:widowControl/>
              <w:spacing w:line="240" w:lineRule="exact"/>
              <w:rPr>
                <w:rFonts w:hint="eastAsia" w:ascii="Times New Roman" w:hAnsi="Times New Roman" w:eastAsia="宋体" w:cs="Times New Roman"/>
                <w:kern w:val="0"/>
                <w:sz w:val="20"/>
                <w:szCs w:val="20"/>
              </w:rPr>
            </w:pPr>
            <w:r>
              <w:rPr>
                <w:rFonts w:hint="eastAsia" w:ascii="Times New Roman" w:hAnsi="Times New Roman" w:eastAsia="宋体" w:cs="Times New Roman"/>
                <w:kern w:val="0"/>
                <w:sz w:val="20"/>
                <w:szCs w:val="20"/>
              </w:rPr>
              <w:t>2.享受“购房券”待遇（博士研究生25万元；本科段学历为“双一流”高校的硕士研究生15万元；本科段学历为普通高校的硕士研究生11万元；“双一流”高校本科毕业生8万元）；</w:t>
            </w:r>
          </w:p>
          <w:p>
            <w:pPr>
              <w:widowControl/>
              <w:spacing w:line="240" w:lineRule="exact"/>
              <w:rPr>
                <w:rFonts w:hint="eastAsia" w:ascii="Times New Roman" w:hAnsi="Times New Roman" w:eastAsia="宋体" w:cs="Times New Roman"/>
                <w:kern w:val="0"/>
                <w:sz w:val="20"/>
                <w:szCs w:val="20"/>
              </w:rPr>
            </w:pPr>
            <w:r>
              <w:rPr>
                <w:rFonts w:hint="eastAsia" w:ascii="Times New Roman" w:hAnsi="Times New Roman" w:eastAsia="宋体" w:cs="Times New Roman"/>
                <w:kern w:val="0"/>
                <w:sz w:val="20"/>
                <w:szCs w:val="20"/>
              </w:rPr>
              <w:t>3.可申请发放生活补助（博士研究生2万元左右/年、硕士研究生1万元左右/年、本科毕业生0.6万元左右/年）；</w:t>
            </w:r>
          </w:p>
          <w:p>
            <w:pPr>
              <w:widowControl/>
              <w:spacing w:line="240" w:lineRule="exac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4.因选聘名额限制未被录用的，根据个人意愿及专业匹配度，可推荐至泰兴市开发园区、国有企业就业。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00"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泰兴市</w:t>
            </w:r>
          </w:p>
        </w:tc>
        <w:tc>
          <w:tcPr>
            <w:tcW w:w="191"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3A</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泰兴市</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青年人才储备中心</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综合类</w:t>
            </w:r>
            <w:r>
              <w:rPr>
                <w:rFonts w:ascii="Times New Roman" w:hAnsi="Times New Roman" w:eastAsia="宋体" w:cs="Times New Roman"/>
                <w:kern w:val="0"/>
                <w:sz w:val="20"/>
                <w:szCs w:val="20"/>
              </w:rPr>
              <w:br w:type="textWrapping"/>
            </w:r>
            <w:r>
              <w:rPr>
                <w:rFonts w:hint="eastAsia" w:ascii="宋体" w:hAnsi="宋体" w:eastAsia="宋体" w:cs="宋体"/>
                <w:kern w:val="0"/>
                <w:sz w:val="20"/>
                <w:szCs w:val="20"/>
              </w:rPr>
              <w:t>（女生）</w:t>
            </w:r>
          </w:p>
        </w:tc>
        <w:tc>
          <w:tcPr>
            <w:tcW w:w="228"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3A2-2</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本科</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及以上</w:t>
            </w:r>
          </w:p>
        </w:tc>
        <w:tc>
          <w:tcPr>
            <w:tcW w:w="912"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不限</w:t>
            </w:r>
          </w:p>
        </w:tc>
        <w:tc>
          <w:tcPr>
            <w:tcW w:w="846" w:type="pct"/>
            <w:vMerge w:val="continue"/>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345" w:type="pct"/>
            <w:vMerge w:val="continue"/>
            <w:shd w:val="clear" w:color="auto" w:fill="auto"/>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kern w:val="0"/>
                <w:sz w:val="20"/>
                <w:szCs w:val="20"/>
              </w:rPr>
            </w:pPr>
          </w:p>
        </w:tc>
        <w:tc>
          <w:tcPr>
            <w:tcW w:w="183" w:type="pct"/>
            <w:vMerge w:val="continue"/>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267" w:type="pct"/>
            <w:vMerge w:val="continue"/>
            <w:shd w:val="clear" w:color="auto" w:fill="auto"/>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582" w:type="pct"/>
            <w:vMerge w:val="continue"/>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770" w:hRule="atLeast"/>
          <w:jc w:val="center"/>
        </w:trPr>
        <w:tc>
          <w:tcPr>
            <w:tcW w:w="300"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泰兴市</w:t>
            </w:r>
          </w:p>
        </w:tc>
        <w:tc>
          <w:tcPr>
            <w:tcW w:w="191"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3A</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泰兴市</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青年人才储备中心</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经济类</w:t>
            </w:r>
          </w:p>
        </w:tc>
        <w:tc>
          <w:tcPr>
            <w:tcW w:w="228"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3A2-3</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本科</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及以上</w:t>
            </w:r>
          </w:p>
        </w:tc>
        <w:tc>
          <w:tcPr>
            <w:tcW w:w="912" w:type="pct"/>
            <w:shd w:val="clear" w:color="auto" w:fill="auto"/>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r>
              <w:rPr>
                <w:rFonts w:hint="eastAsia" w:ascii="Times New Roman" w:hAnsi="Times New Roman" w:eastAsia="宋体" w:cs="宋体"/>
                <w:kern w:val="0"/>
                <w:sz w:val="20"/>
                <w:szCs w:val="20"/>
              </w:rPr>
              <w:t>经济学，国际经济与贸易，财政学，金融学，国民经济管理，贸易经济，金融工程，投资学，经济与行政管理，经济统计学，商务经济学，能源经济，金融数学，经济与金融，农村区域发展，金融管理，国际贸易，金融，统计学，税收学，电子商务，工程造价，工程管理，财务管理，应用统计学，会计，会计学，互联网金融，政治经济学，世界经济，人口、资源与环境经济学，国民经济学，区域经济学，财政学（含税收学），产业经济学，国际贸易学，劳动经济学，应用统计，资产评估，农村与区域发展，国际商务，应用经济学，审计，会计与金融</w:t>
            </w:r>
          </w:p>
        </w:tc>
        <w:tc>
          <w:tcPr>
            <w:tcW w:w="846" w:type="pct"/>
            <w:vMerge w:val="continue"/>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345" w:type="pct"/>
            <w:vMerge w:val="continue"/>
            <w:shd w:val="clear" w:color="auto" w:fill="auto"/>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kern w:val="0"/>
                <w:sz w:val="20"/>
                <w:szCs w:val="20"/>
              </w:rPr>
            </w:pPr>
          </w:p>
        </w:tc>
        <w:tc>
          <w:tcPr>
            <w:tcW w:w="183" w:type="pct"/>
            <w:vMerge w:val="continue"/>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267" w:type="pct"/>
            <w:vMerge w:val="continue"/>
            <w:shd w:val="clear" w:color="auto" w:fill="auto"/>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582" w:type="pct"/>
            <w:vMerge w:val="continue"/>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222" w:hRule="atLeast"/>
          <w:jc w:val="center"/>
        </w:trPr>
        <w:tc>
          <w:tcPr>
            <w:tcW w:w="300"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泰兴市</w:t>
            </w:r>
          </w:p>
        </w:tc>
        <w:tc>
          <w:tcPr>
            <w:tcW w:w="191"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3A</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泰兴市</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青年人才储备中心</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机电控制类</w:t>
            </w:r>
          </w:p>
        </w:tc>
        <w:tc>
          <w:tcPr>
            <w:tcW w:w="228"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3A2-4</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本科</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及以上</w:t>
            </w:r>
          </w:p>
        </w:tc>
        <w:tc>
          <w:tcPr>
            <w:tcW w:w="912" w:type="pct"/>
            <w:shd w:val="clear" w:color="auto" w:fill="auto"/>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r>
              <w:rPr>
                <w:rFonts w:hint="eastAsia" w:ascii="Times New Roman" w:hAnsi="Times New Roman" w:eastAsia="宋体" w:cs="宋体"/>
                <w:kern w:val="0"/>
                <w:sz w:val="20"/>
                <w:szCs w:val="20"/>
              </w:rPr>
              <w:t>自动化，工业电气自动化，过程装备与控制工程，材料成型及控制工程，工业自动化，电气工程与智能控制，机械电子工程，自动化（数控技术），电子科学与技术，电力工程及自动化，智能电网工程技术，机械设计制造及自动化，智能制造工程技术，智能制造工程，装备智能化技术，机械电子工程技术，电气工程及自动化，智能控制技术，机器人技术，自动化技术与应用，现代测控工程技术，控制理论与控制工程，检测技术与自动化装置，系统工程，模式识别与智能系统，导航、制导与控制，精密仪器及机械，测试计量技术及仪器，控制工程，电气工程，控制科学与工程，农业电气化与自动化，仪器科学与技术，仪器仪表工程，农业工程与信息技术，电子信息，机械工程，机械制造及其自动化，能源动力</w:t>
            </w:r>
          </w:p>
        </w:tc>
        <w:tc>
          <w:tcPr>
            <w:tcW w:w="846" w:type="pct"/>
            <w:shd w:val="clear" w:color="auto" w:fill="auto"/>
            <w:tcMar>
              <w:top w:w="28" w:type="dxa"/>
              <w:left w:w="57" w:type="dxa"/>
              <w:bottom w:w="28" w:type="dxa"/>
              <w:right w:w="57" w:type="dxa"/>
            </w:tcMar>
            <w:vAlign w:val="center"/>
          </w:tcPr>
          <w:p>
            <w:pPr>
              <w:widowControl/>
              <w:spacing w:line="240" w:lineRule="exact"/>
              <w:rPr>
                <w:rFonts w:ascii="Times New Roman" w:hAnsi="Times New Roman" w:eastAsia="宋体" w:cs="Times New Roman"/>
                <w:kern w:val="0"/>
                <w:sz w:val="20"/>
                <w:szCs w:val="20"/>
              </w:rPr>
            </w:pPr>
            <w:r>
              <w:rPr>
                <w:rFonts w:ascii="Times New Roman" w:hAnsi="Times New Roman" w:eastAsia="宋体" w:cs="Times New Roman"/>
                <w:kern w:val="0"/>
                <w:sz w:val="20"/>
                <w:szCs w:val="20"/>
              </w:rPr>
              <w:t>1.</w:t>
            </w:r>
            <w:r>
              <w:rPr>
                <w:rFonts w:hint="eastAsia" w:ascii="宋体" w:hAnsi="宋体" w:eastAsia="宋体" w:cs="Times New Roman"/>
                <w:kern w:val="0"/>
                <w:sz w:val="20"/>
                <w:szCs w:val="20"/>
              </w:rPr>
              <w:t>第一轮</w:t>
            </w:r>
            <w:r>
              <w:rPr>
                <w:rFonts w:hint="eastAsia" w:ascii="Times New Roman" w:hAnsi="Times New Roman" w:eastAsia="宋体" w:cs="Times New Roman"/>
                <w:kern w:val="0"/>
                <w:sz w:val="20"/>
                <w:szCs w:val="20"/>
              </w:rPr>
              <w:t>“</w:t>
            </w:r>
            <w:r>
              <w:rPr>
                <w:rFonts w:hint="eastAsia" w:ascii="宋体" w:hAnsi="宋体" w:eastAsia="宋体" w:cs="Times New Roman"/>
                <w:kern w:val="0"/>
                <w:sz w:val="20"/>
                <w:szCs w:val="20"/>
              </w:rPr>
              <w:t>一流大学</w:t>
            </w:r>
            <w:r>
              <w:rPr>
                <w:rFonts w:hint="eastAsia" w:ascii="Times New Roman" w:hAnsi="Times New Roman" w:eastAsia="宋体" w:cs="Times New Roman"/>
                <w:kern w:val="0"/>
                <w:sz w:val="20"/>
                <w:szCs w:val="20"/>
              </w:rPr>
              <w:t>”</w:t>
            </w:r>
            <w:r>
              <w:rPr>
                <w:rFonts w:hint="eastAsia" w:ascii="宋体" w:hAnsi="宋体" w:eastAsia="宋体" w:cs="Times New Roman"/>
                <w:kern w:val="0"/>
                <w:sz w:val="20"/>
                <w:szCs w:val="20"/>
              </w:rPr>
              <w:t>建设高校全日制本科及以上学历毕业生；</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2.</w:t>
            </w:r>
            <w:r>
              <w:rPr>
                <w:rFonts w:hint="eastAsia" w:ascii="宋体" w:hAnsi="宋体" w:eastAsia="宋体" w:cs="Times New Roman"/>
                <w:kern w:val="0"/>
                <w:sz w:val="20"/>
                <w:szCs w:val="20"/>
              </w:rPr>
              <w:t>第二轮</w:t>
            </w:r>
            <w:r>
              <w:rPr>
                <w:rFonts w:hint="eastAsia" w:ascii="Times New Roman" w:hAnsi="Times New Roman" w:eastAsia="宋体" w:cs="Times New Roman"/>
                <w:kern w:val="0"/>
                <w:sz w:val="20"/>
                <w:szCs w:val="20"/>
              </w:rPr>
              <w:t>“</w:t>
            </w:r>
            <w:r>
              <w:rPr>
                <w:rFonts w:hint="eastAsia" w:ascii="宋体" w:hAnsi="宋体" w:eastAsia="宋体" w:cs="Times New Roman"/>
                <w:kern w:val="0"/>
                <w:sz w:val="20"/>
                <w:szCs w:val="20"/>
              </w:rPr>
              <w:t>双一流</w:t>
            </w:r>
            <w:r>
              <w:rPr>
                <w:rFonts w:hint="eastAsia" w:ascii="Times New Roman" w:hAnsi="Times New Roman" w:eastAsia="宋体" w:cs="Times New Roman"/>
                <w:kern w:val="0"/>
                <w:sz w:val="20"/>
                <w:szCs w:val="20"/>
              </w:rPr>
              <w:t>”</w:t>
            </w:r>
            <w:r>
              <w:rPr>
                <w:rFonts w:hint="eastAsia" w:ascii="宋体" w:hAnsi="宋体" w:eastAsia="宋体" w:cs="Times New Roman"/>
                <w:kern w:val="0"/>
                <w:sz w:val="20"/>
                <w:szCs w:val="20"/>
              </w:rPr>
              <w:t>建设高校全日制硕士研究生及以上学历毕业生；</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3.</w:t>
            </w:r>
            <w:r>
              <w:rPr>
                <w:rFonts w:hint="eastAsia" w:ascii="宋体" w:hAnsi="宋体" w:eastAsia="宋体" w:cs="Times New Roman"/>
                <w:kern w:val="0"/>
                <w:sz w:val="20"/>
                <w:szCs w:val="20"/>
              </w:rPr>
              <w:t>最新世界大学排名榜单（</w:t>
            </w:r>
            <w:r>
              <w:rPr>
                <w:rFonts w:ascii="Times New Roman" w:hAnsi="Times New Roman" w:eastAsia="宋体" w:cs="Times New Roman"/>
                <w:kern w:val="0"/>
                <w:sz w:val="20"/>
                <w:szCs w:val="20"/>
              </w:rPr>
              <w:t>QS</w:t>
            </w:r>
            <w:r>
              <w:rPr>
                <w:rFonts w:hint="eastAsia" w:ascii="宋体" w:hAnsi="宋体" w:eastAsia="宋体" w:cs="Times New Roman"/>
                <w:kern w:val="0"/>
                <w:sz w:val="20"/>
                <w:szCs w:val="20"/>
              </w:rPr>
              <w:t>、</w:t>
            </w:r>
            <w:r>
              <w:rPr>
                <w:rFonts w:ascii="Times New Roman" w:hAnsi="Times New Roman" w:eastAsia="宋体" w:cs="Times New Roman"/>
                <w:kern w:val="0"/>
                <w:sz w:val="20"/>
                <w:szCs w:val="20"/>
              </w:rPr>
              <w:t>THE</w:t>
            </w:r>
            <w:r>
              <w:rPr>
                <w:rFonts w:hint="eastAsia" w:ascii="宋体" w:hAnsi="宋体" w:eastAsia="宋体" w:cs="Times New Roman"/>
                <w:kern w:val="0"/>
                <w:sz w:val="20"/>
                <w:szCs w:val="20"/>
              </w:rPr>
              <w:t>、</w:t>
            </w:r>
            <w:r>
              <w:rPr>
                <w:rFonts w:ascii="Times New Roman" w:hAnsi="Times New Roman" w:eastAsia="宋体" w:cs="Times New Roman"/>
                <w:kern w:val="0"/>
                <w:sz w:val="20"/>
                <w:szCs w:val="20"/>
              </w:rPr>
              <w:t>U.S.NEWS</w:t>
            </w:r>
            <w:r>
              <w:rPr>
                <w:rFonts w:hint="eastAsia" w:ascii="宋体" w:hAnsi="宋体" w:eastAsia="宋体" w:cs="Times New Roman"/>
                <w:kern w:val="0"/>
                <w:sz w:val="20"/>
                <w:szCs w:val="20"/>
              </w:rPr>
              <w:t>、</w:t>
            </w:r>
            <w:r>
              <w:rPr>
                <w:rFonts w:ascii="Times New Roman" w:hAnsi="Times New Roman" w:eastAsia="宋体" w:cs="Times New Roman"/>
                <w:kern w:val="0"/>
                <w:sz w:val="20"/>
                <w:szCs w:val="20"/>
              </w:rPr>
              <w:t>ARWU</w:t>
            </w:r>
            <w:r>
              <w:rPr>
                <w:rFonts w:hint="eastAsia" w:ascii="宋体" w:hAnsi="宋体" w:eastAsia="宋体" w:cs="Times New Roman"/>
                <w:kern w:val="0"/>
                <w:sz w:val="20"/>
                <w:szCs w:val="20"/>
              </w:rPr>
              <w:t>、</w:t>
            </w:r>
            <w:r>
              <w:rPr>
                <w:rFonts w:ascii="Times New Roman" w:hAnsi="Times New Roman" w:eastAsia="宋体" w:cs="Times New Roman"/>
                <w:kern w:val="0"/>
                <w:sz w:val="20"/>
                <w:szCs w:val="20"/>
              </w:rPr>
              <w:t>CWUR</w:t>
            </w:r>
            <w:r>
              <w:rPr>
                <w:rFonts w:hint="eastAsia" w:ascii="宋体" w:hAnsi="宋体" w:eastAsia="宋体" w:cs="Times New Roman"/>
                <w:kern w:val="0"/>
                <w:sz w:val="20"/>
                <w:szCs w:val="20"/>
              </w:rPr>
              <w:t>）前</w:t>
            </w:r>
            <w:r>
              <w:rPr>
                <w:rFonts w:ascii="Times New Roman" w:hAnsi="Times New Roman" w:eastAsia="宋体" w:cs="Times New Roman"/>
                <w:kern w:val="0"/>
                <w:sz w:val="20"/>
                <w:szCs w:val="20"/>
              </w:rPr>
              <w:t>100</w:t>
            </w:r>
            <w:r>
              <w:rPr>
                <w:rFonts w:hint="eastAsia" w:ascii="宋体" w:hAnsi="宋体" w:eastAsia="宋体" w:cs="Times New Roman"/>
                <w:kern w:val="0"/>
                <w:sz w:val="20"/>
                <w:szCs w:val="20"/>
              </w:rPr>
              <w:t>名国（境）外高校的全日制硕士研究生及以上学历毕业生。</w:t>
            </w:r>
          </w:p>
        </w:tc>
        <w:tc>
          <w:tcPr>
            <w:tcW w:w="345" w:type="pct"/>
            <w:shd w:val="clear" w:color="auto" w:fill="auto"/>
            <w:tcMar>
              <w:top w:w="28" w:type="dxa"/>
              <w:left w:w="57" w:type="dxa"/>
              <w:bottom w:w="28" w:type="dxa"/>
              <w:right w:w="57" w:type="dxa"/>
            </w:tcMar>
            <w:vAlign w:val="center"/>
          </w:tcPr>
          <w:p>
            <w:pPr>
              <w:widowControl/>
              <w:spacing w:line="240" w:lineRule="exact"/>
              <w:jc w:val="both"/>
              <w:rPr>
                <w:rFonts w:hint="default" w:ascii="Times New Roman" w:hAnsi="Times New Roman" w:eastAsia="宋体" w:cs="Times New Roman"/>
                <w:color w:val="auto"/>
                <w:kern w:val="0"/>
                <w:sz w:val="20"/>
                <w:szCs w:val="20"/>
                <w:u w:val="none"/>
              </w:rPr>
            </w:pPr>
            <w:r>
              <w:rPr>
                <w:rFonts w:hint="default" w:ascii="Times New Roman" w:hAnsi="Times New Roman" w:eastAsia="宋体" w:cs="Times New Roman"/>
                <w:kern w:val="0"/>
                <w:sz w:val="20"/>
                <w:szCs w:val="20"/>
              </w:rPr>
              <w:t>报名网址：</w:t>
            </w:r>
            <w:r>
              <w:rPr>
                <w:rFonts w:hint="default" w:ascii="Times New Roman" w:hAnsi="Times New Roman" w:eastAsia="宋体" w:cs="Times New Roman"/>
                <w:color w:val="auto"/>
                <w:kern w:val="0"/>
                <w:sz w:val="20"/>
                <w:szCs w:val="20"/>
                <w:u w:val="none"/>
              </w:rPr>
              <w:fldChar w:fldCharType="begin"/>
            </w:r>
            <w:r>
              <w:rPr>
                <w:rFonts w:hint="default" w:ascii="Times New Roman" w:hAnsi="Times New Roman" w:eastAsia="宋体" w:cs="Times New Roman"/>
                <w:color w:val="auto"/>
                <w:kern w:val="0"/>
                <w:sz w:val="20"/>
                <w:szCs w:val="20"/>
                <w:u w:val="none"/>
              </w:rPr>
              <w:instrText xml:space="preserve"> HYPERLINK "http://www.tzjob.com" </w:instrText>
            </w:r>
            <w:r>
              <w:rPr>
                <w:rFonts w:hint="default" w:ascii="Times New Roman" w:hAnsi="Times New Roman" w:eastAsia="宋体" w:cs="Times New Roman"/>
                <w:color w:val="auto"/>
                <w:kern w:val="0"/>
                <w:sz w:val="20"/>
                <w:szCs w:val="20"/>
                <w:u w:val="none"/>
              </w:rPr>
              <w:fldChar w:fldCharType="separate"/>
            </w:r>
            <w:r>
              <w:rPr>
                <w:rStyle w:val="6"/>
                <w:rFonts w:hint="default" w:ascii="Times New Roman" w:hAnsi="Times New Roman" w:eastAsia="宋体" w:cs="Times New Roman"/>
                <w:color w:val="auto"/>
                <w:kern w:val="0"/>
                <w:sz w:val="20"/>
                <w:szCs w:val="20"/>
                <w:u w:val="none"/>
              </w:rPr>
              <w:t>www.tzjob.com</w:t>
            </w:r>
            <w:r>
              <w:rPr>
                <w:rFonts w:hint="default" w:ascii="Times New Roman" w:hAnsi="Times New Roman" w:eastAsia="宋体" w:cs="Times New Roman"/>
                <w:color w:val="auto"/>
                <w:kern w:val="0"/>
                <w:sz w:val="20"/>
                <w:szCs w:val="20"/>
                <w:u w:val="none"/>
              </w:rPr>
              <w:fldChar w:fldCharType="end"/>
            </w:r>
          </w:p>
          <w:p>
            <w:pPr>
              <w:widowControl/>
              <w:spacing w:line="240" w:lineRule="exact"/>
              <w:jc w:val="both"/>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电子邮箱：txzzbghb@126.com</w:t>
            </w:r>
          </w:p>
          <w:p>
            <w:pPr>
              <w:widowControl/>
              <w:spacing w:line="240" w:lineRule="exact"/>
              <w:jc w:val="both"/>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咨询电话：</w:t>
            </w:r>
          </w:p>
          <w:p>
            <w:pPr>
              <w:widowControl/>
              <w:spacing w:line="240" w:lineRule="exact"/>
              <w:jc w:val="both"/>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13512550991；</w:t>
            </w:r>
          </w:p>
          <w:p>
            <w:pPr>
              <w:widowControl/>
              <w:spacing w:line="240" w:lineRule="exact"/>
              <w:jc w:val="both"/>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18994713397。</w:t>
            </w:r>
          </w:p>
        </w:tc>
        <w:tc>
          <w:tcPr>
            <w:tcW w:w="183"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267"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综评+面试</w:t>
            </w:r>
          </w:p>
        </w:tc>
        <w:tc>
          <w:tcPr>
            <w:tcW w:w="582" w:type="pct"/>
            <w:shd w:val="clear" w:color="auto" w:fill="auto"/>
            <w:tcMar>
              <w:top w:w="28" w:type="dxa"/>
              <w:left w:w="57" w:type="dxa"/>
              <w:bottom w:w="28" w:type="dxa"/>
              <w:right w:w="57" w:type="dxa"/>
            </w:tcMar>
            <w:vAlign w:val="center"/>
          </w:tcPr>
          <w:p>
            <w:pPr>
              <w:widowControl/>
              <w:spacing w:line="240" w:lineRule="exact"/>
              <w:rPr>
                <w:rFonts w:hint="eastAsia" w:ascii="Times New Roman" w:hAnsi="Times New Roman" w:eastAsia="宋体" w:cs="Times New Roman"/>
                <w:kern w:val="0"/>
                <w:sz w:val="20"/>
                <w:szCs w:val="20"/>
              </w:rPr>
            </w:pPr>
            <w:r>
              <w:rPr>
                <w:rFonts w:hint="eastAsia" w:ascii="Times New Roman" w:hAnsi="Times New Roman" w:eastAsia="宋体" w:cs="Times New Roman"/>
                <w:kern w:val="0"/>
                <w:sz w:val="20"/>
                <w:szCs w:val="20"/>
              </w:rPr>
              <w:t>1.免费居住人才公寓（或给予租房补贴）3年；</w:t>
            </w:r>
          </w:p>
          <w:p>
            <w:pPr>
              <w:widowControl/>
              <w:spacing w:line="240" w:lineRule="exact"/>
              <w:rPr>
                <w:rFonts w:hint="eastAsia" w:ascii="Times New Roman" w:hAnsi="Times New Roman" w:eastAsia="宋体" w:cs="Times New Roman"/>
                <w:kern w:val="0"/>
                <w:sz w:val="20"/>
                <w:szCs w:val="20"/>
              </w:rPr>
            </w:pPr>
            <w:r>
              <w:rPr>
                <w:rFonts w:hint="eastAsia" w:ascii="Times New Roman" w:hAnsi="Times New Roman" w:eastAsia="宋体" w:cs="Times New Roman"/>
                <w:kern w:val="0"/>
                <w:sz w:val="20"/>
                <w:szCs w:val="20"/>
              </w:rPr>
              <w:t>2.享受“购房券”待遇（博士研究生25万元；本科段学历为“双一流”高校的硕士研究生15万元；本科段学历为普通高校的硕士研究生11万元；“双一流”高校本科毕业生8万元）；</w:t>
            </w:r>
          </w:p>
          <w:p>
            <w:pPr>
              <w:widowControl/>
              <w:spacing w:line="240" w:lineRule="exact"/>
              <w:rPr>
                <w:rFonts w:hint="eastAsia" w:ascii="Times New Roman" w:hAnsi="Times New Roman" w:eastAsia="宋体" w:cs="Times New Roman"/>
                <w:kern w:val="0"/>
                <w:sz w:val="20"/>
                <w:szCs w:val="20"/>
              </w:rPr>
            </w:pPr>
            <w:r>
              <w:rPr>
                <w:rFonts w:hint="eastAsia" w:ascii="Times New Roman" w:hAnsi="Times New Roman" w:eastAsia="宋体" w:cs="Times New Roman"/>
                <w:kern w:val="0"/>
                <w:sz w:val="20"/>
                <w:szCs w:val="20"/>
              </w:rPr>
              <w:t>3.可申请发放生活补助（博士研究生2万元左右/年、硕士研究生1万元左右/年、本科毕业生0.6万元左右/年）；</w:t>
            </w:r>
          </w:p>
          <w:p>
            <w:pPr>
              <w:widowControl/>
              <w:spacing w:line="240" w:lineRule="exac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4.因选聘名额限制未被录用的，根据个人意愿及专业匹配度，可推荐至泰兴市开发园区、国有企业就业。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813" w:hRule="atLeast"/>
          <w:jc w:val="center"/>
        </w:trPr>
        <w:tc>
          <w:tcPr>
            <w:tcW w:w="300"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泰兴市</w:t>
            </w:r>
          </w:p>
        </w:tc>
        <w:tc>
          <w:tcPr>
            <w:tcW w:w="191"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3A</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泰兴市</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青年人才储备中心</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材料工程类</w:t>
            </w:r>
          </w:p>
        </w:tc>
        <w:tc>
          <w:tcPr>
            <w:tcW w:w="228"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3A2-5</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本科</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及以上</w:t>
            </w:r>
          </w:p>
        </w:tc>
        <w:tc>
          <w:tcPr>
            <w:tcW w:w="912" w:type="pct"/>
            <w:shd w:val="clear" w:color="auto" w:fill="auto"/>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r>
              <w:rPr>
                <w:rFonts w:hint="eastAsia" w:ascii="Times New Roman" w:hAnsi="Times New Roman" w:eastAsia="宋体" w:cs="宋体"/>
                <w:kern w:val="0"/>
                <w:sz w:val="20"/>
                <w:szCs w:val="20"/>
              </w:rPr>
              <w:t>金属材料工程，无机非金属材料工程，高分子材料与工程，材料科学与工程，复合材料与工程，再生资源科学与技术，高分子材料加工工程，矿物加工工程，生物功能材料，材料物理，材料化学，功能材料，纳米材料与技术，新能源材料与器件，标准化工程，高分子材料科学与工程，材料成型及控制工程，材料化冶金应用技术，金属智能成型技术，高分子材料工程技术，新材料与应用技术，建筑材料智能制造，材料物理与化学，材料学，材料加工工程，冶金物理化学，钢铁冶金，有色金属冶金，高分子化学与物理，材料工程，冶金工程，材料与化工，纳米科学与工程</w:t>
            </w:r>
          </w:p>
        </w:tc>
        <w:tc>
          <w:tcPr>
            <w:tcW w:w="846" w:type="pct"/>
            <w:vMerge w:val="restart"/>
            <w:shd w:val="clear" w:color="auto" w:fill="auto"/>
            <w:tcMar>
              <w:top w:w="28" w:type="dxa"/>
              <w:left w:w="57" w:type="dxa"/>
              <w:bottom w:w="28" w:type="dxa"/>
              <w:right w:w="57" w:type="dxa"/>
            </w:tcMar>
            <w:vAlign w:val="center"/>
          </w:tcPr>
          <w:p>
            <w:pPr>
              <w:widowControl/>
              <w:spacing w:line="240" w:lineRule="exact"/>
              <w:rPr>
                <w:rFonts w:ascii="Times New Roman" w:hAnsi="Times New Roman" w:eastAsia="宋体" w:cs="Times New Roman"/>
                <w:kern w:val="0"/>
                <w:sz w:val="20"/>
                <w:szCs w:val="20"/>
              </w:rPr>
            </w:pPr>
            <w:r>
              <w:rPr>
                <w:rFonts w:ascii="Times New Roman" w:hAnsi="Times New Roman" w:eastAsia="宋体" w:cs="Times New Roman"/>
                <w:kern w:val="0"/>
                <w:sz w:val="20"/>
                <w:szCs w:val="20"/>
              </w:rPr>
              <w:t>1.</w:t>
            </w:r>
            <w:r>
              <w:rPr>
                <w:rFonts w:hint="eastAsia" w:ascii="宋体" w:hAnsi="宋体" w:eastAsia="宋体" w:cs="Times New Roman"/>
                <w:kern w:val="0"/>
                <w:sz w:val="20"/>
                <w:szCs w:val="20"/>
              </w:rPr>
              <w:t>第一轮</w:t>
            </w:r>
            <w:r>
              <w:rPr>
                <w:rFonts w:hint="eastAsia" w:ascii="Times New Roman" w:hAnsi="Times New Roman" w:eastAsia="宋体" w:cs="Times New Roman"/>
                <w:kern w:val="0"/>
                <w:sz w:val="20"/>
                <w:szCs w:val="20"/>
              </w:rPr>
              <w:t>“</w:t>
            </w:r>
            <w:r>
              <w:rPr>
                <w:rFonts w:hint="eastAsia" w:ascii="宋体" w:hAnsi="宋体" w:eastAsia="宋体" w:cs="Times New Roman"/>
                <w:kern w:val="0"/>
                <w:sz w:val="20"/>
                <w:szCs w:val="20"/>
              </w:rPr>
              <w:t>一流大学</w:t>
            </w:r>
            <w:r>
              <w:rPr>
                <w:rFonts w:hint="eastAsia" w:ascii="Times New Roman" w:hAnsi="Times New Roman" w:eastAsia="宋体" w:cs="Times New Roman"/>
                <w:kern w:val="0"/>
                <w:sz w:val="20"/>
                <w:szCs w:val="20"/>
              </w:rPr>
              <w:t>”</w:t>
            </w:r>
            <w:r>
              <w:rPr>
                <w:rFonts w:hint="eastAsia" w:ascii="宋体" w:hAnsi="宋体" w:eastAsia="宋体" w:cs="Times New Roman"/>
                <w:kern w:val="0"/>
                <w:sz w:val="20"/>
                <w:szCs w:val="20"/>
              </w:rPr>
              <w:t>建设高校全日制本科及以上学历毕业生；</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2.</w:t>
            </w:r>
            <w:r>
              <w:rPr>
                <w:rFonts w:hint="eastAsia" w:ascii="宋体" w:hAnsi="宋体" w:eastAsia="宋体" w:cs="Times New Roman"/>
                <w:kern w:val="0"/>
                <w:sz w:val="20"/>
                <w:szCs w:val="20"/>
              </w:rPr>
              <w:t>第二轮</w:t>
            </w:r>
            <w:r>
              <w:rPr>
                <w:rFonts w:hint="eastAsia" w:ascii="Times New Roman" w:hAnsi="Times New Roman" w:eastAsia="宋体" w:cs="Times New Roman"/>
                <w:kern w:val="0"/>
                <w:sz w:val="20"/>
                <w:szCs w:val="20"/>
              </w:rPr>
              <w:t>“</w:t>
            </w:r>
            <w:r>
              <w:rPr>
                <w:rFonts w:hint="eastAsia" w:ascii="宋体" w:hAnsi="宋体" w:eastAsia="宋体" w:cs="Times New Roman"/>
                <w:kern w:val="0"/>
                <w:sz w:val="20"/>
                <w:szCs w:val="20"/>
              </w:rPr>
              <w:t>双一流</w:t>
            </w:r>
            <w:r>
              <w:rPr>
                <w:rFonts w:hint="eastAsia" w:ascii="Times New Roman" w:hAnsi="Times New Roman" w:eastAsia="宋体" w:cs="Times New Roman"/>
                <w:kern w:val="0"/>
                <w:sz w:val="20"/>
                <w:szCs w:val="20"/>
              </w:rPr>
              <w:t>”</w:t>
            </w:r>
            <w:r>
              <w:rPr>
                <w:rFonts w:hint="eastAsia" w:ascii="宋体" w:hAnsi="宋体" w:eastAsia="宋体" w:cs="Times New Roman"/>
                <w:kern w:val="0"/>
                <w:sz w:val="20"/>
                <w:szCs w:val="20"/>
              </w:rPr>
              <w:t>建设高校全日制硕士研究生及以上学历毕业生；</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3.</w:t>
            </w:r>
            <w:r>
              <w:rPr>
                <w:rFonts w:hint="eastAsia" w:ascii="宋体" w:hAnsi="宋体" w:eastAsia="宋体" w:cs="Times New Roman"/>
                <w:kern w:val="0"/>
                <w:sz w:val="20"/>
                <w:szCs w:val="20"/>
              </w:rPr>
              <w:t>最新世界大学排名榜单（</w:t>
            </w:r>
            <w:r>
              <w:rPr>
                <w:rFonts w:ascii="Times New Roman" w:hAnsi="Times New Roman" w:eastAsia="宋体" w:cs="Times New Roman"/>
                <w:kern w:val="0"/>
                <w:sz w:val="20"/>
                <w:szCs w:val="20"/>
              </w:rPr>
              <w:t>QS</w:t>
            </w:r>
            <w:r>
              <w:rPr>
                <w:rFonts w:hint="eastAsia" w:ascii="宋体" w:hAnsi="宋体" w:eastAsia="宋体" w:cs="Times New Roman"/>
                <w:kern w:val="0"/>
                <w:sz w:val="20"/>
                <w:szCs w:val="20"/>
              </w:rPr>
              <w:t>、</w:t>
            </w:r>
            <w:r>
              <w:rPr>
                <w:rFonts w:ascii="Times New Roman" w:hAnsi="Times New Roman" w:eastAsia="宋体" w:cs="Times New Roman"/>
                <w:kern w:val="0"/>
                <w:sz w:val="20"/>
                <w:szCs w:val="20"/>
              </w:rPr>
              <w:t>THE</w:t>
            </w:r>
            <w:r>
              <w:rPr>
                <w:rFonts w:hint="eastAsia" w:ascii="宋体" w:hAnsi="宋体" w:eastAsia="宋体" w:cs="Times New Roman"/>
                <w:kern w:val="0"/>
                <w:sz w:val="20"/>
                <w:szCs w:val="20"/>
              </w:rPr>
              <w:t>、</w:t>
            </w:r>
            <w:r>
              <w:rPr>
                <w:rFonts w:ascii="Times New Roman" w:hAnsi="Times New Roman" w:eastAsia="宋体" w:cs="Times New Roman"/>
                <w:kern w:val="0"/>
                <w:sz w:val="20"/>
                <w:szCs w:val="20"/>
              </w:rPr>
              <w:t>U.S.NEWS</w:t>
            </w:r>
            <w:r>
              <w:rPr>
                <w:rFonts w:hint="eastAsia" w:ascii="宋体" w:hAnsi="宋体" w:eastAsia="宋体" w:cs="Times New Roman"/>
                <w:kern w:val="0"/>
                <w:sz w:val="20"/>
                <w:szCs w:val="20"/>
              </w:rPr>
              <w:t>、</w:t>
            </w:r>
            <w:r>
              <w:rPr>
                <w:rFonts w:ascii="Times New Roman" w:hAnsi="Times New Roman" w:eastAsia="宋体" w:cs="Times New Roman"/>
                <w:kern w:val="0"/>
                <w:sz w:val="20"/>
                <w:szCs w:val="20"/>
              </w:rPr>
              <w:t>ARWU</w:t>
            </w:r>
            <w:r>
              <w:rPr>
                <w:rFonts w:hint="eastAsia" w:ascii="宋体" w:hAnsi="宋体" w:eastAsia="宋体" w:cs="Times New Roman"/>
                <w:kern w:val="0"/>
                <w:sz w:val="20"/>
                <w:szCs w:val="20"/>
              </w:rPr>
              <w:t>、</w:t>
            </w:r>
            <w:r>
              <w:rPr>
                <w:rFonts w:ascii="Times New Roman" w:hAnsi="Times New Roman" w:eastAsia="宋体" w:cs="Times New Roman"/>
                <w:kern w:val="0"/>
                <w:sz w:val="20"/>
                <w:szCs w:val="20"/>
              </w:rPr>
              <w:t>CWUR</w:t>
            </w:r>
            <w:r>
              <w:rPr>
                <w:rFonts w:hint="eastAsia" w:ascii="宋体" w:hAnsi="宋体" w:eastAsia="宋体" w:cs="Times New Roman"/>
                <w:kern w:val="0"/>
                <w:sz w:val="20"/>
                <w:szCs w:val="20"/>
              </w:rPr>
              <w:t>）前</w:t>
            </w:r>
            <w:r>
              <w:rPr>
                <w:rFonts w:ascii="Times New Roman" w:hAnsi="Times New Roman" w:eastAsia="宋体" w:cs="Times New Roman"/>
                <w:kern w:val="0"/>
                <w:sz w:val="20"/>
                <w:szCs w:val="20"/>
              </w:rPr>
              <w:t>100</w:t>
            </w:r>
            <w:r>
              <w:rPr>
                <w:rFonts w:hint="eastAsia" w:ascii="宋体" w:hAnsi="宋体" w:eastAsia="宋体" w:cs="Times New Roman"/>
                <w:kern w:val="0"/>
                <w:sz w:val="20"/>
                <w:szCs w:val="20"/>
              </w:rPr>
              <w:t>名国（境）外高校的全日制硕士研究生及以上学历毕业生。</w:t>
            </w:r>
          </w:p>
        </w:tc>
        <w:tc>
          <w:tcPr>
            <w:tcW w:w="345" w:type="pct"/>
            <w:vMerge w:val="restart"/>
            <w:shd w:val="clear" w:color="auto" w:fill="auto"/>
            <w:tcMar>
              <w:top w:w="28" w:type="dxa"/>
              <w:left w:w="57" w:type="dxa"/>
              <w:bottom w:w="28" w:type="dxa"/>
              <w:right w:w="57" w:type="dxa"/>
            </w:tcMar>
            <w:vAlign w:val="center"/>
          </w:tcPr>
          <w:p>
            <w:pPr>
              <w:widowControl/>
              <w:spacing w:line="240" w:lineRule="exact"/>
              <w:jc w:val="both"/>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报名网址：</w:t>
            </w:r>
            <w:r>
              <w:rPr>
                <w:rFonts w:hint="default" w:ascii="Times New Roman" w:hAnsi="Times New Roman" w:eastAsia="宋体" w:cs="Times New Roman"/>
                <w:color w:val="auto"/>
                <w:kern w:val="0"/>
                <w:sz w:val="20"/>
                <w:szCs w:val="20"/>
                <w:u w:val="none"/>
              </w:rPr>
              <w:fldChar w:fldCharType="begin"/>
            </w:r>
            <w:r>
              <w:rPr>
                <w:rFonts w:hint="default" w:ascii="Times New Roman" w:hAnsi="Times New Roman" w:eastAsia="宋体" w:cs="Times New Roman"/>
                <w:color w:val="auto"/>
                <w:kern w:val="0"/>
                <w:sz w:val="20"/>
                <w:szCs w:val="20"/>
                <w:u w:val="none"/>
              </w:rPr>
              <w:instrText xml:space="preserve"> HYPERLINK "http://www.tzjob.com" </w:instrText>
            </w:r>
            <w:r>
              <w:rPr>
                <w:rFonts w:hint="default" w:ascii="Times New Roman" w:hAnsi="Times New Roman" w:eastAsia="宋体" w:cs="Times New Roman"/>
                <w:color w:val="auto"/>
                <w:kern w:val="0"/>
                <w:sz w:val="20"/>
                <w:szCs w:val="20"/>
                <w:u w:val="none"/>
              </w:rPr>
              <w:fldChar w:fldCharType="separate"/>
            </w:r>
            <w:r>
              <w:rPr>
                <w:rStyle w:val="6"/>
                <w:rFonts w:hint="default" w:ascii="Times New Roman" w:hAnsi="Times New Roman" w:eastAsia="宋体" w:cs="Times New Roman"/>
                <w:color w:val="auto"/>
                <w:kern w:val="0"/>
                <w:sz w:val="20"/>
                <w:szCs w:val="20"/>
                <w:u w:val="none"/>
              </w:rPr>
              <w:t>www.tzjob.com</w:t>
            </w:r>
            <w:r>
              <w:rPr>
                <w:rFonts w:hint="default" w:ascii="Times New Roman" w:hAnsi="Times New Roman" w:eastAsia="宋体" w:cs="Times New Roman"/>
                <w:color w:val="auto"/>
                <w:kern w:val="0"/>
                <w:sz w:val="20"/>
                <w:szCs w:val="20"/>
                <w:u w:val="none"/>
              </w:rPr>
              <w:fldChar w:fldCharType="end"/>
            </w:r>
          </w:p>
          <w:p>
            <w:pPr>
              <w:widowControl/>
              <w:spacing w:line="240" w:lineRule="exact"/>
              <w:jc w:val="both"/>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电子邮箱：txzzbghb@126.com</w:t>
            </w:r>
          </w:p>
          <w:p>
            <w:pPr>
              <w:widowControl/>
              <w:spacing w:line="240" w:lineRule="exact"/>
              <w:jc w:val="both"/>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咨询电话：</w:t>
            </w:r>
          </w:p>
          <w:p>
            <w:pPr>
              <w:widowControl/>
              <w:spacing w:line="240" w:lineRule="exact"/>
              <w:jc w:val="both"/>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13512550991；</w:t>
            </w:r>
          </w:p>
          <w:p>
            <w:pPr>
              <w:widowControl/>
              <w:spacing w:line="240" w:lineRule="exact"/>
              <w:jc w:val="both"/>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18994713397。</w:t>
            </w:r>
          </w:p>
        </w:tc>
        <w:tc>
          <w:tcPr>
            <w:tcW w:w="183" w:type="pct"/>
            <w:vMerge w:val="restar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267" w:type="pct"/>
            <w:vMerge w:val="restar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综评+面试</w:t>
            </w:r>
          </w:p>
        </w:tc>
        <w:tc>
          <w:tcPr>
            <w:tcW w:w="582" w:type="pct"/>
            <w:vMerge w:val="restart"/>
            <w:shd w:val="clear" w:color="auto" w:fill="auto"/>
            <w:tcMar>
              <w:top w:w="28" w:type="dxa"/>
              <w:left w:w="57" w:type="dxa"/>
              <w:bottom w:w="28" w:type="dxa"/>
              <w:right w:w="57" w:type="dxa"/>
            </w:tcMar>
            <w:vAlign w:val="center"/>
          </w:tcPr>
          <w:p>
            <w:pPr>
              <w:widowControl/>
              <w:spacing w:line="240" w:lineRule="exact"/>
              <w:rPr>
                <w:rFonts w:hint="eastAsia" w:ascii="Times New Roman" w:hAnsi="Times New Roman" w:eastAsia="宋体" w:cs="Times New Roman"/>
                <w:kern w:val="0"/>
                <w:sz w:val="20"/>
                <w:szCs w:val="20"/>
              </w:rPr>
            </w:pPr>
            <w:r>
              <w:rPr>
                <w:rFonts w:hint="eastAsia" w:ascii="Times New Roman" w:hAnsi="Times New Roman" w:eastAsia="宋体" w:cs="Times New Roman"/>
                <w:kern w:val="0"/>
                <w:sz w:val="20"/>
                <w:szCs w:val="20"/>
              </w:rPr>
              <w:t>1.免费居住人才公寓（或给予租房补贴）3年；</w:t>
            </w:r>
          </w:p>
          <w:p>
            <w:pPr>
              <w:widowControl/>
              <w:spacing w:line="240" w:lineRule="exact"/>
              <w:rPr>
                <w:rFonts w:hint="eastAsia" w:ascii="Times New Roman" w:hAnsi="Times New Roman" w:eastAsia="宋体" w:cs="Times New Roman"/>
                <w:kern w:val="0"/>
                <w:sz w:val="20"/>
                <w:szCs w:val="20"/>
              </w:rPr>
            </w:pPr>
            <w:r>
              <w:rPr>
                <w:rFonts w:hint="eastAsia" w:ascii="Times New Roman" w:hAnsi="Times New Roman" w:eastAsia="宋体" w:cs="Times New Roman"/>
                <w:kern w:val="0"/>
                <w:sz w:val="20"/>
                <w:szCs w:val="20"/>
              </w:rPr>
              <w:t>2.享受“购房券”待遇（博士研究生25万元；本科段学历为“双一流”高校的硕士研究生15万元；本科段学历为普通高校的硕士研究生11万元；“双一流”高校本科毕业生8万元）；</w:t>
            </w:r>
          </w:p>
          <w:p>
            <w:pPr>
              <w:widowControl/>
              <w:spacing w:line="240" w:lineRule="exact"/>
              <w:rPr>
                <w:rFonts w:hint="eastAsia" w:ascii="Times New Roman" w:hAnsi="Times New Roman" w:eastAsia="宋体" w:cs="Times New Roman"/>
                <w:kern w:val="0"/>
                <w:sz w:val="20"/>
                <w:szCs w:val="20"/>
              </w:rPr>
            </w:pPr>
            <w:r>
              <w:rPr>
                <w:rFonts w:hint="eastAsia" w:ascii="Times New Roman" w:hAnsi="Times New Roman" w:eastAsia="宋体" w:cs="Times New Roman"/>
                <w:kern w:val="0"/>
                <w:sz w:val="20"/>
                <w:szCs w:val="20"/>
              </w:rPr>
              <w:t>3.可申请发放生活补助（博士研究生2万元左右/年、硕士研究生1万元左右/年、本科毕业生0.6万元左右/年）；</w:t>
            </w:r>
          </w:p>
          <w:p>
            <w:pPr>
              <w:widowControl/>
              <w:spacing w:line="240" w:lineRule="exac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4.因选聘名额限制未被录用的，根据个人意愿及专业匹配度，可推荐至泰兴市开发园区、国有企业就业。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479" w:hRule="atLeast"/>
          <w:jc w:val="center"/>
        </w:trPr>
        <w:tc>
          <w:tcPr>
            <w:tcW w:w="300"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泰兴市</w:t>
            </w:r>
          </w:p>
        </w:tc>
        <w:tc>
          <w:tcPr>
            <w:tcW w:w="191"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3A</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泰兴市</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青年人才储备中心</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安全生产类</w:t>
            </w:r>
          </w:p>
        </w:tc>
        <w:tc>
          <w:tcPr>
            <w:tcW w:w="228"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3A2-6</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本科</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及以上</w:t>
            </w:r>
          </w:p>
        </w:tc>
        <w:tc>
          <w:tcPr>
            <w:tcW w:w="912" w:type="pct"/>
            <w:shd w:val="clear" w:color="auto" w:fill="auto"/>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r>
              <w:rPr>
                <w:rFonts w:hint="eastAsia" w:ascii="Times New Roman" w:hAnsi="Times New Roman" w:eastAsia="宋体" w:cs="宋体"/>
                <w:kern w:val="0"/>
                <w:sz w:val="20"/>
                <w:szCs w:val="20"/>
              </w:rPr>
              <w:t>安全工程，安全防范工程，消防工程，应急管理，应急技术与管理，安全技术及工程，安全科学与工程</w:t>
            </w:r>
          </w:p>
        </w:tc>
        <w:tc>
          <w:tcPr>
            <w:tcW w:w="846" w:type="pct"/>
            <w:vMerge w:val="continue"/>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345" w:type="pct"/>
            <w:vMerge w:val="continue"/>
            <w:shd w:val="clear" w:color="auto" w:fill="auto"/>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kern w:val="0"/>
                <w:sz w:val="20"/>
                <w:szCs w:val="20"/>
              </w:rPr>
            </w:pPr>
          </w:p>
        </w:tc>
        <w:tc>
          <w:tcPr>
            <w:tcW w:w="183" w:type="pct"/>
            <w:vMerge w:val="continue"/>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267" w:type="pct"/>
            <w:vMerge w:val="continue"/>
            <w:shd w:val="clear" w:color="auto" w:fill="auto"/>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582" w:type="pct"/>
            <w:vMerge w:val="continue"/>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253" w:hRule="atLeast"/>
          <w:jc w:val="center"/>
        </w:trPr>
        <w:tc>
          <w:tcPr>
            <w:tcW w:w="300"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兴化市</w:t>
            </w:r>
          </w:p>
        </w:tc>
        <w:tc>
          <w:tcPr>
            <w:tcW w:w="191"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4A</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Times New Roman"/>
                <w:kern w:val="0"/>
                <w:sz w:val="20"/>
                <w:szCs w:val="20"/>
              </w:rPr>
            </w:pPr>
            <w:r>
              <w:rPr>
                <w:rFonts w:hint="eastAsia" w:ascii="宋体" w:hAnsi="宋体" w:eastAsia="宋体" w:cs="Times New Roman"/>
                <w:kern w:val="0"/>
                <w:sz w:val="20"/>
                <w:szCs w:val="20"/>
              </w:rPr>
              <w:t>兴化市</w:t>
            </w:r>
          </w:p>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青年人才储备中心</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综合类</w:t>
            </w:r>
            <w:r>
              <w:rPr>
                <w:rFonts w:ascii="Times New Roman" w:hAnsi="Times New Roman" w:eastAsia="宋体" w:cs="Times New Roman"/>
                <w:kern w:val="0"/>
                <w:sz w:val="20"/>
                <w:szCs w:val="20"/>
              </w:rPr>
              <w:br w:type="textWrapping"/>
            </w:r>
            <w:r>
              <w:rPr>
                <w:rFonts w:hint="eastAsia" w:ascii="宋体" w:hAnsi="宋体" w:eastAsia="宋体" w:cs="Times New Roman"/>
                <w:kern w:val="0"/>
                <w:sz w:val="20"/>
                <w:szCs w:val="20"/>
              </w:rPr>
              <w:t>（男生）</w:t>
            </w:r>
          </w:p>
        </w:tc>
        <w:tc>
          <w:tcPr>
            <w:tcW w:w="228"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4A-1</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Times New Roman"/>
                <w:kern w:val="0"/>
                <w:sz w:val="20"/>
                <w:szCs w:val="20"/>
              </w:rPr>
            </w:pPr>
            <w:r>
              <w:rPr>
                <w:rFonts w:hint="eastAsia" w:ascii="宋体" w:hAnsi="宋体" w:eastAsia="宋体" w:cs="Times New Roman"/>
                <w:kern w:val="0"/>
                <w:sz w:val="20"/>
                <w:szCs w:val="20"/>
              </w:rPr>
              <w:t>本科</w:t>
            </w:r>
          </w:p>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及以上</w:t>
            </w:r>
          </w:p>
        </w:tc>
        <w:tc>
          <w:tcPr>
            <w:tcW w:w="91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不限</w:t>
            </w:r>
          </w:p>
        </w:tc>
        <w:tc>
          <w:tcPr>
            <w:tcW w:w="846" w:type="pct"/>
            <w:vMerge w:val="restart"/>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1.</w:t>
            </w:r>
            <w:r>
              <w:rPr>
                <w:rFonts w:hint="eastAsia" w:ascii="宋体" w:hAnsi="宋体" w:eastAsia="宋体" w:cs="Times New Roman"/>
                <w:kern w:val="0"/>
                <w:sz w:val="20"/>
                <w:szCs w:val="20"/>
              </w:rPr>
              <w:t>应具备以下条件之一：</w:t>
            </w:r>
            <w:r>
              <w:rPr>
                <w:rFonts w:ascii="Times New Roman" w:hAnsi="Times New Roman" w:eastAsia="宋体" w:cs="Times New Roman"/>
                <w:kern w:val="0"/>
                <w:sz w:val="20"/>
                <w:szCs w:val="20"/>
              </w:rPr>
              <w:br w:type="textWrapping"/>
            </w:r>
            <w:r>
              <w:rPr>
                <w:rFonts w:hint="eastAsia" w:ascii="宋体" w:hAnsi="宋体" w:eastAsia="宋体" w:cs="Times New Roman"/>
                <w:kern w:val="0"/>
                <w:sz w:val="20"/>
                <w:szCs w:val="20"/>
              </w:rPr>
              <w:t>①</w:t>
            </w:r>
            <w:r>
              <w:rPr>
                <w:rFonts w:hint="eastAsia" w:ascii="宋体" w:hAnsi="宋体" w:eastAsia="宋体" w:cs="Times New Roman"/>
                <w:color w:val="auto"/>
                <w:kern w:val="0"/>
                <w:sz w:val="20"/>
                <w:szCs w:val="20"/>
              </w:rPr>
              <w:t>第一轮</w:t>
            </w:r>
            <w:r>
              <w:rPr>
                <w:rFonts w:hint="eastAsia" w:ascii="Times New Roman" w:hAnsi="Times New Roman" w:eastAsia="宋体" w:cs="Times New Roman"/>
                <w:color w:val="auto"/>
                <w:kern w:val="0"/>
                <w:sz w:val="20"/>
                <w:szCs w:val="20"/>
              </w:rPr>
              <w:t>“</w:t>
            </w:r>
            <w:r>
              <w:rPr>
                <w:rFonts w:hint="eastAsia" w:ascii="宋体" w:hAnsi="宋体" w:eastAsia="宋体" w:cs="Times New Roman"/>
                <w:color w:val="auto"/>
                <w:kern w:val="0"/>
                <w:sz w:val="20"/>
                <w:szCs w:val="20"/>
              </w:rPr>
              <w:t>一流大学</w:t>
            </w:r>
            <w:r>
              <w:rPr>
                <w:rFonts w:hint="eastAsia" w:ascii="Times New Roman" w:hAnsi="Times New Roman" w:eastAsia="宋体" w:cs="Times New Roman"/>
                <w:color w:val="auto"/>
                <w:kern w:val="0"/>
                <w:sz w:val="20"/>
                <w:szCs w:val="20"/>
              </w:rPr>
              <w:t>”</w:t>
            </w:r>
            <w:r>
              <w:rPr>
                <w:rFonts w:hint="eastAsia" w:ascii="宋体" w:hAnsi="宋体" w:eastAsia="宋体" w:cs="Times New Roman"/>
                <w:color w:val="auto"/>
                <w:kern w:val="0"/>
                <w:sz w:val="20"/>
                <w:szCs w:val="20"/>
              </w:rPr>
              <w:t>建设高校全日制本科</w:t>
            </w:r>
            <w:r>
              <w:rPr>
                <w:rFonts w:hint="eastAsia" w:ascii="宋体" w:hAnsi="宋体" w:eastAsia="宋体" w:cs="Times New Roman"/>
                <w:color w:val="auto"/>
                <w:kern w:val="0"/>
                <w:sz w:val="20"/>
                <w:szCs w:val="20"/>
                <w:lang w:val="en-US" w:eastAsia="zh-CN"/>
              </w:rPr>
              <w:t>及以上学历</w:t>
            </w:r>
            <w:r>
              <w:rPr>
                <w:rFonts w:hint="eastAsia" w:ascii="宋体" w:hAnsi="宋体" w:eastAsia="宋体" w:cs="Times New Roman"/>
                <w:color w:val="auto"/>
                <w:kern w:val="0"/>
                <w:sz w:val="20"/>
                <w:szCs w:val="20"/>
              </w:rPr>
              <w:t>毕业生；</w:t>
            </w:r>
            <w:r>
              <w:rPr>
                <w:rFonts w:ascii="Times New Roman" w:hAnsi="Times New Roman" w:eastAsia="宋体" w:cs="Times New Roman"/>
                <w:kern w:val="0"/>
                <w:sz w:val="20"/>
                <w:szCs w:val="20"/>
              </w:rPr>
              <w:br w:type="textWrapping"/>
            </w:r>
            <w:r>
              <w:rPr>
                <w:rFonts w:hint="eastAsia" w:ascii="宋体" w:hAnsi="宋体" w:eastAsia="宋体" w:cs="Times New Roman"/>
                <w:kern w:val="0"/>
                <w:sz w:val="20"/>
                <w:szCs w:val="20"/>
              </w:rPr>
              <w:t>②第二轮</w:t>
            </w:r>
            <w:r>
              <w:rPr>
                <w:rFonts w:hint="eastAsia" w:ascii="Times New Roman" w:hAnsi="Times New Roman" w:eastAsia="宋体" w:cs="Times New Roman"/>
                <w:kern w:val="0"/>
                <w:sz w:val="20"/>
                <w:szCs w:val="20"/>
              </w:rPr>
              <w:t>“</w:t>
            </w:r>
            <w:r>
              <w:rPr>
                <w:rFonts w:hint="eastAsia" w:ascii="宋体" w:hAnsi="宋体" w:eastAsia="宋体" w:cs="Times New Roman"/>
                <w:kern w:val="0"/>
                <w:sz w:val="20"/>
                <w:szCs w:val="20"/>
              </w:rPr>
              <w:t>双一流</w:t>
            </w:r>
            <w:r>
              <w:rPr>
                <w:rFonts w:hint="eastAsia" w:ascii="Times New Roman" w:hAnsi="Times New Roman" w:eastAsia="宋体" w:cs="Times New Roman"/>
                <w:kern w:val="0"/>
                <w:sz w:val="20"/>
                <w:szCs w:val="20"/>
              </w:rPr>
              <w:t>”</w:t>
            </w:r>
            <w:r>
              <w:rPr>
                <w:rFonts w:hint="eastAsia" w:ascii="宋体" w:hAnsi="宋体" w:eastAsia="宋体" w:cs="Times New Roman"/>
                <w:kern w:val="0"/>
                <w:sz w:val="20"/>
                <w:szCs w:val="20"/>
              </w:rPr>
              <w:t>建设高校全日制硕士研究生及以上学历毕业生（本科须为第二轮</w:t>
            </w:r>
            <w:r>
              <w:rPr>
                <w:rFonts w:hint="eastAsia" w:ascii="Times New Roman" w:hAnsi="Times New Roman" w:eastAsia="宋体" w:cs="Times New Roman"/>
                <w:kern w:val="0"/>
                <w:sz w:val="20"/>
                <w:szCs w:val="20"/>
              </w:rPr>
              <w:t>“</w:t>
            </w:r>
            <w:r>
              <w:rPr>
                <w:rFonts w:hint="eastAsia" w:ascii="宋体" w:hAnsi="宋体" w:eastAsia="宋体" w:cs="Times New Roman"/>
                <w:kern w:val="0"/>
                <w:sz w:val="20"/>
                <w:szCs w:val="20"/>
              </w:rPr>
              <w:t>双一流</w:t>
            </w:r>
            <w:r>
              <w:rPr>
                <w:rFonts w:hint="eastAsia" w:ascii="Times New Roman" w:hAnsi="Times New Roman" w:eastAsia="宋体" w:cs="Times New Roman"/>
                <w:kern w:val="0"/>
                <w:sz w:val="20"/>
                <w:szCs w:val="20"/>
              </w:rPr>
              <w:t>”</w:t>
            </w:r>
            <w:r>
              <w:rPr>
                <w:rFonts w:hint="eastAsia" w:ascii="宋体" w:hAnsi="宋体" w:eastAsia="宋体" w:cs="Times New Roman"/>
                <w:kern w:val="0"/>
                <w:sz w:val="20"/>
                <w:szCs w:val="20"/>
              </w:rPr>
              <w:t>建设高校全日制毕业生）；</w:t>
            </w:r>
            <w:r>
              <w:rPr>
                <w:rFonts w:ascii="Times New Roman" w:hAnsi="Times New Roman" w:eastAsia="宋体" w:cs="Times New Roman"/>
                <w:kern w:val="0"/>
                <w:sz w:val="20"/>
                <w:szCs w:val="20"/>
              </w:rPr>
              <w:br w:type="textWrapping"/>
            </w:r>
            <w:r>
              <w:rPr>
                <w:rFonts w:hint="eastAsia" w:ascii="宋体" w:hAnsi="宋体" w:eastAsia="宋体" w:cs="Times New Roman"/>
                <w:kern w:val="0"/>
                <w:sz w:val="20"/>
                <w:szCs w:val="20"/>
              </w:rPr>
              <w:t>③最新世界大学排名榜单（</w:t>
            </w:r>
            <w:r>
              <w:rPr>
                <w:rFonts w:ascii="Times New Roman" w:hAnsi="Times New Roman" w:eastAsia="宋体" w:cs="Times New Roman"/>
                <w:kern w:val="0"/>
                <w:sz w:val="20"/>
                <w:szCs w:val="20"/>
              </w:rPr>
              <w:t>QS</w:t>
            </w:r>
            <w:r>
              <w:rPr>
                <w:rFonts w:hint="eastAsia" w:ascii="宋体" w:hAnsi="宋体" w:eastAsia="宋体" w:cs="Times New Roman"/>
                <w:kern w:val="0"/>
                <w:sz w:val="20"/>
                <w:szCs w:val="20"/>
              </w:rPr>
              <w:t>、</w:t>
            </w:r>
            <w:r>
              <w:rPr>
                <w:rFonts w:ascii="Times New Roman" w:hAnsi="Times New Roman" w:eastAsia="宋体" w:cs="Times New Roman"/>
                <w:kern w:val="0"/>
                <w:sz w:val="20"/>
                <w:szCs w:val="20"/>
              </w:rPr>
              <w:t>THE</w:t>
            </w:r>
            <w:r>
              <w:rPr>
                <w:rFonts w:hint="eastAsia" w:ascii="宋体" w:hAnsi="宋体" w:eastAsia="宋体" w:cs="Times New Roman"/>
                <w:kern w:val="0"/>
                <w:sz w:val="20"/>
                <w:szCs w:val="20"/>
              </w:rPr>
              <w:t>、</w:t>
            </w:r>
            <w:r>
              <w:rPr>
                <w:rFonts w:ascii="Times New Roman" w:hAnsi="Times New Roman" w:eastAsia="宋体" w:cs="Times New Roman"/>
                <w:kern w:val="0"/>
                <w:sz w:val="20"/>
                <w:szCs w:val="20"/>
              </w:rPr>
              <w:t>U.S.News</w:t>
            </w:r>
            <w:r>
              <w:rPr>
                <w:rFonts w:hint="eastAsia" w:ascii="宋体" w:hAnsi="宋体" w:eastAsia="宋体" w:cs="Times New Roman"/>
                <w:kern w:val="0"/>
                <w:sz w:val="20"/>
                <w:szCs w:val="20"/>
              </w:rPr>
              <w:t>、</w:t>
            </w:r>
            <w:r>
              <w:rPr>
                <w:rFonts w:ascii="Times New Roman" w:hAnsi="Times New Roman" w:eastAsia="宋体" w:cs="Times New Roman"/>
                <w:kern w:val="0"/>
                <w:sz w:val="20"/>
                <w:szCs w:val="20"/>
              </w:rPr>
              <w:t>ARWU</w:t>
            </w:r>
            <w:r>
              <w:rPr>
                <w:rFonts w:hint="eastAsia" w:ascii="宋体" w:hAnsi="宋体" w:eastAsia="宋体" w:cs="Times New Roman"/>
                <w:kern w:val="0"/>
                <w:sz w:val="20"/>
                <w:szCs w:val="20"/>
              </w:rPr>
              <w:t>、</w:t>
            </w:r>
            <w:r>
              <w:rPr>
                <w:rFonts w:ascii="Times New Roman" w:hAnsi="Times New Roman" w:eastAsia="宋体" w:cs="Times New Roman"/>
                <w:kern w:val="0"/>
                <w:sz w:val="20"/>
                <w:szCs w:val="20"/>
              </w:rPr>
              <w:t>CWUR</w:t>
            </w:r>
            <w:r>
              <w:rPr>
                <w:rFonts w:hint="eastAsia" w:ascii="宋体" w:hAnsi="宋体" w:eastAsia="宋体" w:cs="Times New Roman"/>
                <w:kern w:val="0"/>
                <w:sz w:val="20"/>
                <w:szCs w:val="20"/>
              </w:rPr>
              <w:t>）前</w:t>
            </w:r>
            <w:r>
              <w:rPr>
                <w:rFonts w:ascii="Times New Roman" w:hAnsi="Times New Roman" w:eastAsia="宋体" w:cs="Times New Roman"/>
                <w:kern w:val="0"/>
                <w:sz w:val="20"/>
                <w:szCs w:val="20"/>
              </w:rPr>
              <w:t>100</w:t>
            </w:r>
            <w:r>
              <w:rPr>
                <w:rFonts w:hint="eastAsia" w:ascii="宋体" w:hAnsi="宋体" w:eastAsia="宋体" w:cs="Times New Roman"/>
                <w:kern w:val="0"/>
                <w:sz w:val="20"/>
                <w:szCs w:val="20"/>
              </w:rPr>
              <w:t>名国（境）外高校的全日制硕士研究生及以上学历毕业生（本科须为第二轮</w:t>
            </w:r>
            <w:r>
              <w:rPr>
                <w:rFonts w:hint="eastAsia" w:ascii="Times New Roman" w:hAnsi="Times New Roman" w:eastAsia="宋体" w:cs="Times New Roman"/>
                <w:kern w:val="0"/>
                <w:sz w:val="20"/>
                <w:szCs w:val="20"/>
              </w:rPr>
              <w:t>“</w:t>
            </w:r>
            <w:r>
              <w:rPr>
                <w:rFonts w:hint="eastAsia" w:ascii="宋体" w:hAnsi="宋体" w:eastAsia="宋体" w:cs="Times New Roman"/>
                <w:kern w:val="0"/>
                <w:sz w:val="20"/>
                <w:szCs w:val="20"/>
              </w:rPr>
              <w:t>双一流</w:t>
            </w:r>
            <w:r>
              <w:rPr>
                <w:rFonts w:hint="eastAsia" w:ascii="Times New Roman" w:hAnsi="Times New Roman" w:eastAsia="宋体" w:cs="Times New Roman"/>
                <w:kern w:val="0"/>
                <w:sz w:val="20"/>
                <w:szCs w:val="20"/>
              </w:rPr>
              <w:t>”</w:t>
            </w:r>
            <w:r>
              <w:rPr>
                <w:rFonts w:hint="eastAsia" w:ascii="宋体" w:hAnsi="宋体" w:eastAsia="宋体" w:cs="Times New Roman"/>
                <w:kern w:val="0"/>
                <w:sz w:val="20"/>
                <w:szCs w:val="20"/>
              </w:rPr>
              <w:t>建设高校全日制毕业生）。</w:t>
            </w:r>
          </w:p>
        </w:tc>
        <w:tc>
          <w:tcPr>
            <w:tcW w:w="345" w:type="pct"/>
            <w:vMerge w:val="restart"/>
            <w:shd w:val="clear" w:color="auto" w:fill="auto"/>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color w:val="auto"/>
                <w:kern w:val="0"/>
                <w:sz w:val="20"/>
                <w:szCs w:val="20"/>
                <w:u w:val="none"/>
              </w:rPr>
            </w:pPr>
            <w:r>
              <w:rPr>
                <w:rFonts w:hint="default" w:ascii="Times New Roman" w:hAnsi="Times New Roman" w:eastAsia="宋体" w:cs="Times New Roman"/>
                <w:kern w:val="0"/>
                <w:sz w:val="20"/>
                <w:szCs w:val="20"/>
              </w:rPr>
              <w:t>报名网址：</w:t>
            </w:r>
            <w:r>
              <w:rPr>
                <w:rFonts w:hint="default" w:ascii="Times New Roman" w:hAnsi="Times New Roman" w:eastAsia="宋体" w:cs="Times New Roman"/>
                <w:color w:val="auto"/>
                <w:kern w:val="0"/>
                <w:sz w:val="20"/>
                <w:szCs w:val="20"/>
                <w:u w:val="none"/>
              </w:rPr>
              <w:fldChar w:fldCharType="begin"/>
            </w:r>
            <w:r>
              <w:rPr>
                <w:rFonts w:hint="default" w:ascii="Times New Roman" w:hAnsi="Times New Roman" w:eastAsia="宋体" w:cs="Times New Roman"/>
                <w:color w:val="auto"/>
                <w:kern w:val="0"/>
                <w:sz w:val="20"/>
                <w:szCs w:val="20"/>
                <w:u w:val="none"/>
              </w:rPr>
              <w:instrText xml:space="preserve"> HYPERLINK "http://www.tzjob.com" </w:instrText>
            </w:r>
            <w:r>
              <w:rPr>
                <w:rFonts w:hint="default" w:ascii="Times New Roman" w:hAnsi="Times New Roman" w:eastAsia="宋体" w:cs="Times New Roman"/>
                <w:color w:val="auto"/>
                <w:kern w:val="0"/>
                <w:sz w:val="20"/>
                <w:szCs w:val="20"/>
                <w:u w:val="none"/>
              </w:rPr>
              <w:fldChar w:fldCharType="separate"/>
            </w:r>
            <w:r>
              <w:rPr>
                <w:rStyle w:val="6"/>
                <w:rFonts w:hint="default" w:ascii="Times New Roman" w:hAnsi="Times New Roman" w:eastAsia="宋体" w:cs="Times New Roman"/>
                <w:color w:val="auto"/>
                <w:kern w:val="0"/>
                <w:sz w:val="20"/>
                <w:szCs w:val="20"/>
                <w:u w:val="none"/>
              </w:rPr>
              <w:t>www.tzjob.com</w:t>
            </w:r>
            <w:r>
              <w:rPr>
                <w:rFonts w:hint="default" w:ascii="Times New Roman" w:hAnsi="Times New Roman" w:eastAsia="宋体" w:cs="Times New Roman"/>
                <w:color w:val="auto"/>
                <w:kern w:val="0"/>
                <w:sz w:val="20"/>
                <w:szCs w:val="20"/>
                <w:u w:val="none"/>
              </w:rPr>
              <w:fldChar w:fldCharType="end"/>
            </w:r>
          </w:p>
          <w:p>
            <w:pPr>
              <w:widowControl/>
              <w:spacing w:line="240" w:lineRule="exact"/>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电子邮箱：xhqnrccbzx@126.com</w:t>
            </w:r>
            <w:r>
              <w:rPr>
                <w:rFonts w:hint="default" w:ascii="Times New Roman" w:hAnsi="Times New Roman" w:eastAsia="宋体" w:cs="Times New Roman"/>
                <w:kern w:val="0"/>
                <w:sz w:val="20"/>
                <w:szCs w:val="20"/>
              </w:rPr>
              <w:br w:type="textWrapping"/>
            </w:r>
            <w:r>
              <w:rPr>
                <w:rFonts w:hint="default" w:ascii="Times New Roman" w:hAnsi="Times New Roman" w:eastAsia="宋体" w:cs="Times New Roman"/>
                <w:kern w:val="0"/>
                <w:sz w:val="20"/>
                <w:szCs w:val="20"/>
              </w:rPr>
              <w:t>咨询电话：0523-83326196</w:t>
            </w:r>
          </w:p>
        </w:tc>
        <w:tc>
          <w:tcPr>
            <w:tcW w:w="183" w:type="pct"/>
            <w:vMerge w:val="restar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w:t>
            </w:r>
          </w:p>
        </w:tc>
        <w:tc>
          <w:tcPr>
            <w:tcW w:w="267" w:type="pct"/>
            <w:vMerge w:val="restar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结构化面试</w:t>
            </w:r>
            <w:r>
              <w:rPr>
                <w:rFonts w:ascii="Times New Roman" w:hAnsi="Times New Roman" w:eastAsia="宋体" w:cs="Times New Roman"/>
                <w:kern w:val="0"/>
                <w:sz w:val="20"/>
                <w:szCs w:val="20"/>
              </w:rPr>
              <w:t>+</w:t>
            </w:r>
            <w:r>
              <w:rPr>
                <w:rFonts w:hint="eastAsia" w:ascii="宋体" w:hAnsi="宋体" w:eastAsia="宋体" w:cs="Times New Roman"/>
                <w:kern w:val="0"/>
                <w:sz w:val="20"/>
                <w:szCs w:val="20"/>
              </w:rPr>
              <w:t>面谈</w:t>
            </w:r>
          </w:p>
        </w:tc>
        <w:tc>
          <w:tcPr>
            <w:tcW w:w="582" w:type="pct"/>
            <w:vMerge w:val="restart"/>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1</w:t>
            </w:r>
            <w:r>
              <w:rPr>
                <w:rFonts w:ascii="Times New Roman" w:hAnsi="Times New Roman" w:eastAsia="宋体" w:cs="Times New Roman"/>
                <w:kern w:val="0"/>
                <w:sz w:val="20"/>
                <w:szCs w:val="20"/>
              </w:rPr>
              <w:t>.</w:t>
            </w:r>
            <w:r>
              <w:rPr>
                <w:rFonts w:hint="eastAsia" w:ascii="宋体" w:hAnsi="宋体" w:eastAsia="宋体" w:cs="Times New Roman"/>
                <w:kern w:val="0"/>
                <w:sz w:val="20"/>
                <w:szCs w:val="20"/>
              </w:rPr>
              <w:t>发放购房券；</w:t>
            </w:r>
            <w:r>
              <w:rPr>
                <w:rFonts w:ascii="Times New Roman" w:hAnsi="Times New Roman" w:eastAsia="宋体" w:cs="Times New Roman"/>
                <w:kern w:val="0"/>
                <w:sz w:val="20"/>
                <w:szCs w:val="20"/>
              </w:rPr>
              <w:br w:type="textWrapping"/>
            </w:r>
            <w:r>
              <w:rPr>
                <w:rFonts w:hint="eastAsia" w:ascii="Times New Roman" w:hAnsi="Times New Roman" w:eastAsia="宋体" w:cs="Times New Roman"/>
                <w:kern w:val="0"/>
                <w:sz w:val="20"/>
                <w:szCs w:val="20"/>
                <w:lang w:val="en-US" w:eastAsia="zh-CN"/>
              </w:rPr>
              <w:t>2</w:t>
            </w:r>
            <w:r>
              <w:rPr>
                <w:rFonts w:ascii="Times New Roman" w:hAnsi="Times New Roman" w:eastAsia="宋体" w:cs="Times New Roman"/>
                <w:kern w:val="0"/>
                <w:sz w:val="20"/>
                <w:szCs w:val="20"/>
              </w:rPr>
              <w:t>.5</w:t>
            </w:r>
            <w:r>
              <w:rPr>
                <w:rFonts w:hint="eastAsia" w:ascii="宋体" w:hAnsi="宋体" w:eastAsia="宋体" w:cs="Times New Roman"/>
                <w:kern w:val="0"/>
                <w:sz w:val="20"/>
                <w:szCs w:val="20"/>
              </w:rPr>
              <w:t>年内按有关标准享受生活补贴；</w:t>
            </w:r>
            <w:r>
              <w:rPr>
                <w:rFonts w:ascii="Times New Roman" w:hAnsi="Times New Roman" w:eastAsia="宋体" w:cs="Times New Roman"/>
                <w:kern w:val="0"/>
                <w:sz w:val="20"/>
                <w:szCs w:val="20"/>
              </w:rPr>
              <w:br w:type="textWrapping"/>
            </w:r>
            <w:r>
              <w:rPr>
                <w:rFonts w:hint="eastAsia" w:ascii="Times New Roman" w:hAnsi="Times New Roman" w:eastAsia="宋体" w:cs="Times New Roman"/>
                <w:kern w:val="0"/>
                <w:sz w:val="20"/>
                <w:szCs w:val="20"/>
                <w:lang w:val="en-US" w:eastAsia="zh-CN"/>
              </w:rPr>
              <w:t>3</w:t>
            </w:r>
            <w:r>
              <w:rPr>
                <w:rFonts w:ascii="Times New Roman" w:hAnsi="Times New Roman" w:eastAsia="宋体" w:cs="Times New Roman"/>
                <w:kern w:val="0"/>
                <w:sz w:val="20"/>
                <w:szCs w:val="20"/>
              </w:rPr>
              <w:t>.</w:t>
            </w:r>
            <w:r>
              <w:rPr>
                <w:rFonts w:hint="eastAsia" w:ascii="宋体" w:hAnsi="宋体" w:eastAsia="宋体" w:cs="Times New Roman"/>
                <w:kern w:val="0"/>
                <w:sz w:val="20"/>
                <w:szCs w:val="20"/>
              </w:rPr>
              <w:t>由兴化市委组织部跟踪管理，纳入优秀年轻干部库重点培养。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69" w:hRule="atLeast"/>
          <w:jc w:val="center"/>
        </w:trPr>
        <w:tc>
          <w:tcPr>
            <w:tcW w:w="300"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兴化市</w:t>
            </w:r>
          </w:p>
        </w:tc>
        <w:tc>
          <w:tcPr>
            <w:tcW w:w="191"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4A</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Times New Roman"/>
                <w:kern w:val="0"/>
                <w:sz w:val="20"/>
                <w:szCs w:val="20"/>
              </w:rPr>
            </w:pPr>
            <w:r>
              <w:rPr>
                <w:rFonts w:hint="eastAsia" w:ascii="宋体" w:hAnsi="宋体" w:eastAsia="宋体" w:cs="Times New Roman"/>
                <w:kern w:val="0"/>
                <w:sz w:val="20"/>
                <w:szCs w:val="20"/>
              </w:rPr>
              <w:t>兴化市</w:t>
            </w:r>
          </w:p>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青年人才储备中心</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综合类</w:t>
            </w:r>
            <w:r>
              <w:rPr>
                <w:rFonts w:ascii="Times New Roman" w:hAnsi="Times New Roman" w:eastAsia="宋体" w:cs="Times New Roman"/>
                <w:kern w:val="0"/>
                <w:sz w:val="20"/>
                <w:szCs w:val="20"/>
              </w:rPr>
              <w:br w:type="textWrapping"/>
            </w:r>
            <w:r>
              <w:rPr>
                <w:rFonts w:hint="eastAsia" w:ascii="宋体" w:hAnsi="宋体" w:eastAsia="宋体" w:cs="Times New Roman"/>
                <w:kern w:val="0"/>
                <w:sz w:val="20"/>
                <w:szCs w:val="20"/>
              </w:rPr>
              <w:t>（女生）</w:t>
            </w:r>
          </w:p>
        </w:tc>
        <w:tc>
          <w:tcPr>
            <w:tcW w:w="228"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4A-2</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Times New Roman"/>
                <w:kern w:val="0"/>
                <w:sz w:val="20"/>
                <w:szCs w:val="20"/>
              </w:rPr>
            </w:pPr>
            <w:r>
              <w:rPr>
                <w:rFonts w:hint="eastAsia" w:ascii="宋体" w:hAnsi="宋体" w:eastAsia="宋体" w:cs="Times New Roman"/>
                <w:kern w:val="0"/>
                <w:sz w:val="20"/>
                <w:szCs w:val="20"/>
              </w:rPr>
              <w:t>本科</w:t>
            </w:r>
          </w:p>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及以上</w:t>
            </w:r>
          </w:p>
        </w:tc>
        <w:tc>
          <w:tcPr>
            <w:tcW w:w="91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不限</w:t>
            </w:r>
          </w:p>
        </w:tc>
        <w:tc>
          <w:tcPr>
            <w:tcW w:w="846" w:type="pct"/>
            <w:vMerge w:val="continue"/>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345" w:type="pct"/>
            <w:vMerge w:val="continue"/>
            <w:shd w:val="clear" w:color="auto" w:fill="auto"/>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kern w:val="0"/>
                <w:sz w:val="20"/>
                <w:szCs w:val="20"/>
              </w:rPr>
            </w:pPr>
          </w:p>
        </w:tc>
        <w:tc>
          <w:tcPr>
            <w:tcW w:w="183" w:type="pct"/>
            <w:vMerge w:val="continue"/>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267" w:type="pct"/>
            <w:vMerge w:val="continue"/>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582" w:type="pct"/>
            <w:vMerge w:val="continue"/>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00"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兴化市</w:t>
            </w:r>
          </w:p>
        </w:tc>
        <w:tc>
          <w:tcPr>
            <w:tcW w:w="191"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4A</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Times New Roman"/>
                <w:kern w:val="0"/>
                <w:sz w:val="20"/>
                <w:szCs w:val="20"/>
              </w:rPr>
            </w:pPr>
            <w:r>
              <w:rPr>
                <w:rFonts w:hint="eastAsia" w:ascii="宋体" w:hAnsi="宋体" w:eastAsia="宋体" w:cs="Times New Roman"/>
                <w:kern w:val="0"/>
                <w:sz w:val="20"/>
                <w:szCs w:val="20"/>
              </w:rPr>
              <w:t>兴化市</w:t>
            </w:r>
          </w:p>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青年人才储备中心</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专业类</w:t>
            </w:r>
            <w:r>
              <w:rPr>
                <w:rFonts w:ascii="Times New Roman" w:hAnsi="Times New Roman" w:eastAsia="宋体" w:cs="Times New Roman"/>
                <w:color w:val="000000"/>
                <w:kern w:val="0"/>
                <w:sz w:val="20"/>
                <w:szCs w:val="20"/>
              </w:rPr>
              <w:t>1</w:t>
            </w:r>
          </w:p>
        </w:tc>
        <w:tc>
          <w:tcPr>
            <w:tcW w:w="228"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4A-3</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Times New Roman"/>
                <w:kern w:val="0"/>
                <w:sz w:val="20"/>
                <w:szCs w:val="20"/>
              </w:rPr>
            </w:pPr>
            <w:r>
              <w:rPr>
                <w:rFonts w:hint="eastAsia" w:ascii="宋体" w:hAnsi="宋体" w:eastAsia="宋体" w:cs="Times New Roman"/>
                <w:kern w:val="0"/>
                <w:sz w:val="20"/>
                <w:szCs w:val="20"/>
              </w:rPr>
              <w:t>本科</w:t>
            </w:r>
          </w:p>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及以上</w:t>
            </w:r>
          </w:p>
        </w:tc>
        <w:tc>
          <w:tcPr>
            <w:tcW w:w="912" w:type="pct"/>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r>
              <w:rPr>
                <w:rFonts w:hint="eastAsia" w:ascii="宋体" w:hAnsi="宋体" w:eastAsia="宋体" w:cs="Times New Roman"/>
                <w:kern w:val="0"/>
                <w:sz w:val="20"/>
                <w:szCs w:val="20"/>
              </w:rPr>
              <w:t>材料物理与化学，材料学，材料加工工程，冶金物理化学，钢铁冶金，有色金属冶金，材料工程，材料与化工，冶金工程，金属材料工程，材料科学与工程，复合材料与工程，焊接技术与工程，材料物理，材料化学，新能源材料与器件，标准化工程，质量管理工程，材料成型及控制工程，钢铁智能冶金技术，材料化冶金应用技术，金属智能成型技术，储能材料工程技术，新材料与应用技术</w:t>
            </w:r>
          </w:p>
        </w:tc>
        <w:tc>
          <w:tcPr>
            <w:tcW w:w="846" w:type="pct"/>
            <w:vMerge w:val="restart"/>
            <w:shd w:val="clear" w:color="auto" w:fill="auto"/>
            <w:tcMar>
              <w:top w:w="28" w:type="dxa"/>
              <w:left w:w="57" w:type="dxa"/>
              <w:bottom w:w="28" w:type="dxa"/>
              <w:right w:w="57" w:type="dxa"/>
            </w:tcMar>
            <w:vAlign w:val="center"/>
          </w:tcPr>
          <w:p>
            <w:pPr>
              <w:widowControl/>
              <w:spacing w:line="240" w:lineRule="exact"/>
              <w:jc w:val="left"/>
              <w:rPr>
                <w:rFonts w:hint="eastAsia" w:ascii="Times New Roman" w:hAnsi="Times New Roman" w:eastAsia="宋体" w:cs="Times New Roman"/>
                <w:kern w:val="0"/>
                <w:sz w:val="20"/>
                <w:szCs w:val="20"/>
              </w:rPr>
            </w:pPr>
            <w:r>
              <w:rPr>
                <w:rFonts w:hint="eastAsia" w:ascii="Times New Roman" w:hAnsi="Times New Roman" w:eastAsia="宋体" w:cs="Times New Roman"/>
                <w:kern w:val="0"/>
                <w:sz w:val="20"/>
                <w:szCs w:val="20"/>
              </w:rPr>
              <w:t>1.应具备以下条件之一：</w:t>
            </w:r>
          </w:p>
          <w:p>
            <w:pPr>
              <w:widowControl/>
              <w:spacing w:line="240" w:lineRule="exact"/>
              <w:jc w:val="left"/>
              <w:rPr>
                <w:rFonts w:hint="eastAsia" w:ascii="Times New Roman" w:hAnsi="Times New Roman" w:eastAsia="宋体" w:cs="Times New Roman"/>
                <w:kern w:val="0"/>
                <w:sz w:val="20"/>
                <w:szCs w:val="20"/>
              </w:rPr>
            </w:pPr>
            <w:r>
              <w:rPr>
                <w:rFonts w:hint="eastAsia" w:ascii="Times New Roman" w:hAnsi="Times New Roman" w:eastAsia="宋体" w:cs="Times New Roman"/>
                <w:kern w:val="0"/>
                <w:sz w:val="20"/>
                <w:szCs w:val="20"/>
              </w:rPr>
              <w:t>①第二轮“双一流”建设高校全日制本科毕业生；</w:t>
            </w:r>
          </w:p>
          <w:p>
            <w:pPr>
              <w:widowControl/>
              <w:spacing w:line="240" w:lineRule="exact"/>
              <w:jc w:val="left"/>
              <w:rPr>
                <w:rFonts w:hint="eastAsia" w:ascii="Times New Roman" w:hAnsi="Times New Roman" w:eastAsia="宋体" w:cs="Times New Roman"/>
                <w:kern w:val="0"/>
                <w:sz w:val="20"/>
                <w:szCs w:val="20"/>
              </w:rPr>
            </w:pPr>
            <w:r>
              <w:rPr>
                <w:rFonts w:hint="eastAsia" w:ascii="Times New Roman" w:hAnsi="Times New Roman" w:eastAsia="宋体" w:cs="Times New Roman"/>
                <w:kern w:val="0"/>
                <w:sz w:val="20"/>
                <w:szCs w:val="20"/>
              </w:rPr>
              <w:t>②国内高校全日制硕士研究生及以上学历毕业生；</w:t>
            </w:r>
          </w:p>
          <w:p>
            <w:pPr>
              <w:widowControl/>
              <w:spacing w:line="240" w:lineRule="exact"/>
              <w:jc w:val="left"/>
              <w:rPr>
                <w:rFonts w:hint="eastAsia" w:ascii="Times New Roman" w:hAnsi="Times New Roman" w:eastAsia="宋体" w:cs="Times New Roman"/>
                <w:kern w:val="0"/>
                <w:sz w:val="20"/>
                <w:szCs w:val="20"/>
              </w:rPr>
            </w:pPr>
            <w:r>
              <w:rPr>
                <w:rFonts w:hint="eastAsia" w:ascii="Times New Roman" w:hAnsi="Times New Roman" w:eastAsia="宋体" w:cs="Times New Roman"/>
                <w:kern w:val="0"/>
                <w:sz w:val="20"/>
                <w:szCs w:val="20"/>
              </w:rPr>
              <w:t>③最新世界大学排名榜单（QS、THE、U.S.News、ARWU、CWUR）前100名国（境）外高校的全日制硕士研究生及以上学历毕业生（本科须为国内高校全日制毕业生）。</w:t>
            </w:r>
          </w:p>
          <w:p>
            <w:pPr>
              <w:widowControl/>
              <w:spacing w:line="240" w:lineRule="exact"/>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2.拥有相关行业工作经验，持有专业资格证书者优先。</w:t>
            </w:r>
          </w:p>
        </w:tc>
        <w:tc>
          <w:tcPr>
            <w:tcW w:w="345" w:type="pct"/>
            <w:vMerge w:val="restart"/>
            <w:shd w:val="clear" w:color="auto" w:fill="auto"/>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color w:val="auto"/>
                <w:kern w:val="0"/>
                <w:sz w:val="20"/>
                <w:szCs w:val="20"/>
                <w:u w:val="none"/>
              </w:rPr>
            </w:pPr>
            <w:r>
              <w:rPr>
                <w:rFonts w:hint="default" w:ascii="Times New Roman" w:hAnsi="Times New Roman" w:eastAsia="宋体" w:cs="Times New Roman"/>
                <w:kern w:val="0"/>
                <w:sz w:val="20"/>
                <w:szCs w:val="20"/>
              </w:rPr>
              <w:t>报名网址：</w:t>
            </w:r>
            <w:r>
              <w:rPr>
                <w:rFonts w:hint="default" w:ascii="Times New Roman" w:hAnsi="Times New Roman" w:eastAsia="宋体" w:cs="Times New Roman"/>
                <w:color w:val="auto"/>
                <w:kern w:val="0"/>
                <w:sz w:val="20"/>
                <w:szCs w:val="20"/>
                <w:u w:val="none"/>
              </w:rPr>
              <w:fldChar w:fldCharType="begin"/>
            </w:r>
            <w:r>
              <w:rPr>
                <w:rFonts w:hint="default" w:ascii="Times New Roman" w:hAnsi="Times New Roman" w:eastAsia="宋体" w:cs="Times New Roman"/>
                <w:color w:val="auto"/>
                <w:kern w:val="0"/>
                <w:sz w:val="20"/>
                <w:szCs w:val="20"/>
                <w:u w:val="none"/>
              </w:rPr>
              <w:instrText xml:space="preserve"> HYPERLINK "http://www.tzjob.com" </w:instrText>
            </w:r>
            <w:r>
              <w:rPr>
                <w:rFonts w:hint="default" w:ascii="Times New Roman" w:hAnsi="Times New Roman" w:eastAsia="宋体" w:cs="Times New Roman"/>
                <w:color w:val="auto"/>
                <w:kern w:val="0"/>
                <w:sz w:val="20"/>
                <w:szCs w:val="20"/>
                <w:u w:val="none"/>
              </w:rPr>
              <w:fldChar w:fldCharType="separate"/>
            </w:r>
            <w:r>
              <w:rPr>
                <w:rStyle w:val="6"/>
                <w:rFonts w:hint="default" w:ascii="Times New Roman" w:hAnsi="Times New Roman" w:eastAsia="宋体" w:cs="Times New Roman"/>
                <w:color w:val="auto"/>
                <w:kern w:val="0"/>
                <w:sz w:val="20"/>
                <w:szCs w:val="20"/>
                <w:u w:val="none"/>
              </w:rPr>
              <w:t>www.tzjob.com</w:t>
            </w:r>
            <w:r>
              <w:rPr>
                <w:rFonts w:hint="default" w:ascii="Times New Roman" w:hAnsi="Times New Roman" w:eastAsia="宋体" w:cs="Times New Roman"/>
                <w:color w:val="auto"/>
                <w:kern w:val="0"/>
                <w:sz w:val="20"/>
                <w:szCs w:val="20"/>
                <w:u w:val="none"/>
              </w:rPr>
              <w:fldChar w:fldCharType="end"/>
            </w:r>
          </w:p>
          <w:p>
            <w:pPr>
              <w:widowControl/>
              <w:spacing w:line="240" w:lineRule="exact"/>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电子邮箱：xhqnrccbzx@126.com</w:t>
            </w:r>
            <w:r>
              <w:rPr>
                <w:rFonts w:hint="default" w:ascii="Times New Roman" w:hAnsi="Times New Roman" w:eastAsia="宋体" w:cs="Times New Roman"/>
                <w:kern w:val="0"/>
                <w:sz w:val="20"/>
                <w:szCs w:val="20"/>
              </w:rPr>
              <w:br w:type="textWrapping"/>
            </w:r>
            <w:r>
              <w:rPr>
                <w:rFonts w:hint="default" w:ascii="Times New Roman" w:hAnsi="Times New Roman" w:eastAsia="宋体" w:cs="Times New Roman"/>
                <w:kern w:val="0"/>
                <w:sz w:val="20"/>
                <w:szCs w:val="20"/>
              </w:rPr>
              <w:t>咨询电话：0523-83326196</w:t>
            </w:r>
          </w:p>
        </w:tc>
        <w:tc>
          <w:tcPr>
            <w:tcW w:w="183" w:type="pct"/>
            <w:vMerge w:val="restar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w:t>
            </w:r>
          </w:p>
        </w:tc>
        <w:tc>
          <w:tcPr>
            <w:tcW w:w="267" w:type="pct"/>
            <w:vMerge w:val="restar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结构化面试</w:t>
            </w:r>
            <w:r>
              <w:rPr>
                <w:rFonts w:ascii="Times New Roman" w:hAnsi="Times New Roman" w:eastAsia="宋体" w:cs="Times New Roman"/>
                <w:kern w:val="0"/>
                <w:sz w:val="20"/>
                <w:szCs w:val="20"/>
              </w:rPr>
              <w:t>+</w:t>
            </w:r>
            <w:r>
              <w:rPr>
                <w:rFonts w:hint="eastAsia" w:ascii="宋体" w:hAnsi="宋体" w:eastAsia="宋体" w:cs="Times New Roman"/>
                <w:kern w:val="0"/>
                <w:sz w:val="20"/>
                <w:szCs w:val="20"/>
              </w:rPr>
              <w:t>面谈</w:t>
            </w:r>
          </w:p>
        </w:tc>
        <w:tc>
          <w:tcPr>
            <w:tcW w:w="582" w:type="pct"/>
            <w:vMerge w:val="restart"/>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1</w:t>
            </w:r>
            <w:r>
              <w:rPr>
                <w:rFonts w:ascii="Times New Roman" w:hAnsi="Times New Roman" w:eastAsia="宋体" w:cs="Times New Roman"/>
                <w:kern w:val="0"/>
                <w:sz w:val="20"/>
                <w:szCs w:val="20"/>
              </w:rPr>
              <w:t>.</w:t>
            </w:r>
            <w:r>
              <w:rPr>
                <w:rFonts w:hint="eastAsia" w:ascii="宋体" w:hAnsi="宋体" w:eastAsia="宋体" w:cs="Times New Roman"/>
                <w:kern w:val="0"/>
                <w:sz w:val="20"/>
                <w:szCs w:val="20"/>
              </w:rPr>
              <w:t>发放购房券；</w:t>
            </w:r>
            <w:r>
              <w:rPr>
                <w:rFonts w:ascii="Times New Roman" w:hAnsi="Times New Roman" w:eastAsia="宋体" w:cs="Times New Roman"/>
                <w:kern w:val="0"/>
                <w:sz w:val="20"/>
                <w:szCs w:val="20"/>
              </w:rPr>
              <w:br w:type="textWrapping"/>
            </w:r>
            <w:r>
              <w:rPr>
                <w:rFonts w:hint="eastAsia" w:ascii="Times New Roman" w:hAnsi="Times New Roman" w:eastAsia="宋体" w:cs="Times New Roman"/>
                <w:kern w:val="0"/>
                <w:sz w:val="20"/>
                <w:szCs w:val="20"/>
                <w:lang w:val="en-US" w:eastAsia="zh-CN"/>
              </w:rPr>
              <w:t>2</w:t>
            </w:r>
            <w:r>
              <w:rPr>
                <w:rFonts w:ascii="Times New Roman" w:hAnsi="Times New Roman" w:eastAsia="宋体" w:cs="Times New Roman"/>
                <w:kern w:val="0"/>
                <w:sz w:val="20"/>
                <w:szCs w:val="20"/>
              </w:rPr>
              <w:t>.5</w:t>
            </w:r>
            <w:r>
              <w:rPr>
                <w:rFonts w:hint="eastAsia" w:ascii="宋体" w:hAnsi="宋体" w:eastAsia="宋体" w:cs="Times New Roman"/>
                <w:kern w:val="0"/>
                <w:sz w:val="20"/>
                <w:szCs w:val="20"/>
              </w:rPr>
              <w:t>年内按有关标准享受生活补贴；</w:t>
            </w:r>
            <w:r>
              <w:rPr>
                <w:rFonts w:ascii="Times New Roman" w:hAnsi="Times New Roman" w:eastAsia="宋体" w:cs="Times New Roman"/>
                <w:kern w:val="0"/>
                <w:sz w:val="20"/>
                <w:szCs w:val="20"/>
              </w:rPr>
              <w:br w:type="textWrapping"/>
            </w:r>
            <w:r>
              <w:rPr>
                <w:rFonts w:hint="eastAsia" w:ascii="Times New Roman" w:hAnsi="Times New Roman" w:eastAsia="宋体" w:cs="Times New Roman"/>
                <w:kern w:val="0"/>
                <w:sz w:val="20"/>
                <w:szCs w:val="20"/>
                <w:lang w:val="en-US" w:eastAsia="zh-CN"/>
              </w:rPr>
              <w:t>3</w:t>
            </w:r>
            <w:r>
              <w:rPr>
                <w:rFonts w:ascii="Times New Roman" w:hAnsi="Times New Roman" w:eastAsia="宋体" w:cs="Times New Roman"/>
                <w:kern w:val="0"/>
                <w:sz w:val="20"/>
                <w:szCs w:val="20"/>
              </w:rPr>
              <w:t>.</w:t>
            </w:r>
            <w:r>
              <w:rPr>
                <w:rFonts w:hint="eastAsia" w:ascii="宋体" w:hAnsi="宋体" w:eastAsia="宋体" w:cs="Times New Roman"/>
                <w:kern w:val="0"/>
                <w:sz w:val="20"/>
                <w:szCs w:val="20"/>
              </w:rPr>
              <w:t>由兴化市委组织部跟踪管理，纳入优秀年轻干部库重点培养。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00"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兴化市</w:t>
            </w:r>
          </w:p>
        </w:tc>
        <w:tc>
          <w:tcPr>
            <w:tcW w:w="191"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4A</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Times New Roman"/>
                <w:kern w:val="0"/>
                <w:sz w:val="20"/>
                <w:szCs w:val="20"/>
              </w:rPr>
            </w:pPr>
            <w:r>
              <w:rPr>
                <w:rFonts w:hint="eastAsia" w:ascii="宋体" w:hAnsi="宋体" w:eastAsia="宋体" w:cs="Times New Roman"/>
                <w:kern w:val="0"/>
                <w:sz w:val="20"/>
                <w:szCs w:val="20"/>
              </w:rPr>
              <w:t>兴化市</w:t>
            </w:r>
          </w:p>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青年人才储备中心</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专业类</w:t>
            </w:r>
            <w:r>
              <w:rPr>
                <w:rFonts w:ascii="Times New Roman" w:hAnsi="Times New Roman" w:eastAsia="宋体" w:cs="Times New Roman"/>
                <w:color w:val="000000"/>
                <w:kern w:val="0"/>
                <w:sz w:val="20"/>
                <w:szCs w:val="20"/>
              </w:rPr>
              <w:t>2</w:t>
            </w:r>
          </w:p>
        </w:tc>
        <w:tc>
          <w:tcPr>
            <w:tcW w:w="228"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4A-4</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Times New Roman"/>
                <w:kern w:val="0"/>
                <w:sz w:val="20"/>
                <w:szCs w:val="20"/>
              </w:rPr>
            </w:pPr>
            <w:r>
              <w:rPr>
                <w:rFonts w:hint="eastAsia" w:ascii="宋体" w:hAnsi="宋体" w:eastAsia="宋体" w:cs="Times New Roman"/>
                <w:kern w:val="0"/>
                <w:sz w:val="20"/>
                <w:szCs w:val="20"/>
              </w:rPr>
              <w:t>本科</w:t>
            </w:r>
          </w:p>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及以上</w:t>
            </w:r>
          </w:p>
        </w:tc>
        <w:tc>
          <w:tcPr>
            <w:tcW w:w="912" w:type="pct"/>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r>
              <w:rPr>
                <w:rFonts w:hint="eastAsia" w:ascii="宋体" w:hAnsi="宋体" w:eastAsia="宋体" w:cs="Times New Roman"/>
                <w:kern w:val="0"/>
                <w:sz w:val="20"/>
                <w:szCs w:val="20"/>
              </w:rPr>
              <w:t>机械制造及其自动化，机械设计及理论，动力机械及工程，化工过程机械，控制工程，控制理论与控制工程，工业设计工程，控制科学与工程，精密仪器及机械，机械，动力工程，机械设计制造及其自动化，机械制造及自动化，材料成型及控制工程，工业设计，过程装备与控制工程，自动化，机械工程及自动化，机械工程及其自动化，机械电子工程，制造自动化与测控技术，测控技术与仪器，制造工程，机械工程，机械工艺技术，标准化工程，数控加工与模具设计，工业工程，金属材料工程，金属智能成型技术，机械设计制造及自动化，数控技术，工业工程技术，装备智能化技术，机械电子工程技术，自动化技术与应用，现代测控工程技术</w:t>
            </w:r>
          </w:p>
        </w:tc>
        <w:tc>
          <w:tcPr>
            <w:tcW w:w="846" w:type="pct"/>
            <w:vMerge w:val="continue"/>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345" w:type="pct"/>
            <w:vMerge w:val="continue"/>
            <w:shd w:val="clear" w:color="auto" w:fill="auto"/>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kern w:val="0"/>
                <w:sz w:val="20"/>
                <w:szCs w:val="20"/>
              </w:rPr>
            </w:pPr>
          </w:p>
        </w:tc>
        <w:tc>
          <w:tcPr>
            <w:tcW w:w="183" w:type="pct"/>
            <w:vMerge w:val="continue"/>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267" w:type="pct"/>
            <w:vMerge w:val="continue"/>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582" w:type="pct"/>
            <w:vMerge w:val="continue"/>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00"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兴化市</w:t>
            </w:r>
          </w:p>
        </w:tc>
        <w:tc>
          <w:tcPr>
            <w:tcW w:w="191"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4A</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Times New Roman"/>
                <w:kern w:val="0"/>
                <w:sz w:val="20"/>
                <w:szCs w:val="20"/>
              </w:rPr>
            </w:pPr>
            <w:r>
              <w:rPr>
                <w:rFonts w:hint="eastAsia" w:ascii="宋体" w:hAnsi="宋体" w:eastAsia="宋体" w:cs="Times New Roman"/>
                <w:kern w:val="0"/>
                <w:sz w:val="20"/>
                <w:szCs w:val="20"/>
              </w:rPr>
              <w:t>兴化市</w:t>
            </w:r>
          </w:p>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青年人才储备中心</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专业类</w:t>
            </w:r>
            <w:r>
              <w:rPr>
                <w:rFonts w:ascii="Times New Roman" w:hAnsi="Times New Roman" w:eastAsia="宋体" w:cs="Times New Roman"/>
                <w:color w:val="000000"/>
                <w:kern w:val="0"/>
                <w:sz w:val="20"/>
                <w:szCs w:val="20"/>
              </w:rPr>
              <w:t>3</w:t>
            </w:r>
          </w:p>
        </w:tc>
        <w:tc>
          <w:tcPr>
            <w:tcW w:w="228"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4A-5</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Times New Roman"/>
                <w:kern w:val="0"/>
                <w:sz w:val="20"/>
                <w:szCs w:val="20"/>
              </w:rPr>
            </w:pPr>
            <w:r>
              <w:rPr>
                <w:rFonts w:hint="eastAsia" w:ascii="宋体" w:hAnsi="宋体" w:eastAsia="宋体" w:cs="Times New Roman"/>
                <w:kern w:val="0"/>
                <w:sz w:val="20"/>
                <w:szCs w:val="20"/>
              </w:rPr>
              <w:t>本科</w:t>
            </w:r>
          </w:p>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及以上</w:t>
            </w:r>
          </w:p>
        </w:tc>
        <w:tc>
          <w:tcPr>
            <w:tcW w:w="912" w:type="pct"/>
            <w:shd w:val="clear" w:color="auto" w:fill="auto"/>
            <w:tcMar>
              <w:top w:w="28" w:type="dxa"/>
              <w:left w:w="57" w:type="dxa"/>
              <w:bottom w:w="28" w:type="dxa"/>
              <w:right w:w="57" w:type="dxa"/>
            </w:tcMar>
            <w:vAlign w:val="center"/>
          </w:tcPr>
          <w:p>
            <w:pPr>
              <w:widowControl/>
              <w:spacing w:line="230" w:lineRule="exact"/>
              <w:rPr>
                <w:rFonts w:ascii="Times New Roman" w:hAnsi="Times New Roman" w:eastAsia="宋体" w:cs="Times New Roman"/>
                <w:kern w:val="0"/>
                <w:sz w:val="20"/>
                <w:szCs w:val="20"/>
              </w:rPr>
            </w:pPr>
            <w:r>
              <w:rPr>
                <w:rFonts w:hint="eastAsia" w:ascii="宋体" w:hAnsi="宋体" w:eastAsia="宋体" w:cs="Times New Roman"/>
                <w:kern w:val="0"/>
                <w:sz w:val="20"/>
                <w:szCs w:val="20"/>
              </w:rPr>
              <w:t>发酵工程，食品科学，粮食、油脂及植物蛋白工程，农产品加工及贮藏工程，水产品加工及贮藏工程，食品加工与安全，食品工程，食品科学与工程，食品质量与安全，农产品质量与安全，粮食工程，乳品工程，质量管理工程，食品安全与品控，食品工程技术，现代粮食工程技术</w:t>
            </w:r>
          </w:p>
        </w:tc>
        <w:tc>
          <w:tcPr>
            <w:tcW w:w="846" w:type="pct"/>
            <w:vMerge w:val="restart"/>
            <w:shd w:val="clear" w:color="auto" w:fill="auto"/>
            <w:tcMar>
              <w:top w:w="28" w:type="dxa"/>
              <w:left w:w="57" w:type="dxa"/>
              <w:bottom w:w="28" w:type="dxa"/>
              <w:right w:w="57" w:type="dxa"/>
            </w:tcMar>
            <w:vAlign w:val="center"/>
          </w:tcPr>
          <w:p>
            <w:pPr>
              <w:widowControl/>
              <w:spacing w:line="240" w:lineRule="exact"/>
              <w:jc w:val="left"/>
              <w:rPr>
                <w:rFonts w:hint="eastAsia" w:ascii="Times New Roman" w:hAnsi="Times New Roman" w:eastAsia="宋体" w:cs="Times New Roman"/>
                <w:kern w:val="0"/>
                <w:sz w:val="20"/>
                <w:szCs w:val="20"/>
              </w:rPr>
            </w:pPr>
            <w:r>
              <w:rPr>
                <w:rFonts w:hint="eastAsia" w:ascii="Times New Roman" w:hAnsi="Times New Roman" w:eastAsia="宋体" w:cs="Times New Roman"/>
                <w:kern w:val="0"/>
                <w:sz w:val="20"/>
                <w:szCs w:val="20"/>
              </w:rPr>
              <w:t>1.应具备以下条件之一：</w:t>
            </w:r>
          </w:p>
          <w:p>
            <w:pPr>
              <w:widowControl/>
              <w:spacing w:line="240" w:lineRule="exact"/>
              <w:jc w:val="left"/>
              <w:rPr>
                <w:rFonts w:hint="eastAsia" w:ascii="Times New Roman" w:hAnsi="Times New Roman" w:eastAsia="宋体" w:cs="Times New Roman"/>
                <w:kern w:val="0"/>
                <w:sz w:val="20"/>
                <w:szCs w:val="20"/>
              </w:rPr>
            </w:pPr>
            <w:r>
              <w:rPr>
                <w:rFonts w:hint="eastAsia" w:ascii="Times New Roman" w:hAnsi="Times New Roman" w:eastAsia="宋体" w:cs="Times New Roman"/>
                <w:kern w:val="0"/>
                <w:sz w:val="20"/>
                <w:szCs w:val="20"/>
              </w:rPr>
              <w:t>①第二轮“双一流”建设高校全日制本科毕业生；</w:t>
            </w:r>
          </w:p>
          <w:p>
            <w:pPr>
              <w:widowControl/>
              <w:spacing w:line="240" w:lineRule="exact"/>
              <w:jc w:val="left"/>
              <w:rPr>
                <w:rFonts w:hint="eastAsia" w:ascii="Times New Roman" w:hAnsi="Times New Roman" w:eastAsia="宋体" w:cs="Times New Roman"/>
                <w:kern w:val="0"/>
                <w:sz w:val="20"/>
                <w:szCs w:val="20"/>
              </w:rPr>
            </w:pPr>
            <w:r>
              <w:rPr>
                <w:rFonts w:hint="eastAsia" w:ascii="Times New Roman" w:hAnsi="Times New Roman" w:eastAsia="宋体" w:cs="Times New Roman"/>
                <w:kern w:val="0"/>
                <w:sz w:val="20"/>
                <w:szCs w:val="20"/>
              </w:rPr>
              <w:t>②国内高校全日制硕士研究生及以上学历毕业生；</w:t>
            </w:r>
          </w:p>
          <w:p>
            <w:pPr>
              <w:widowControl/>
              <w:spacing w:line="240" w:lineRule="exact"/>
              <w:jc w:val="left"/>
              <w:rPr>
                <w:rFonts w:hint="eastAsia" w:ascii="Times New Roman" w:hAnsi="Times New Roman" w:eastAsia="宋体" w:cs="Times New Roman"/>
                <w:kern w:val="0"/>
                <w:sz w:val="20"/>
                <w:szCs w:val="20"/>
              </w:rPr>
            </w:pPr>
            <w:r>
              <w:rPr>
                <w:rFonts w:hint="eastAsia" w:ascii="Times New Roman" w:hAnsi="Times New Roman" w:eastAsia="宋体" w:cs="Times New Roman"/>
                <w:kern w:val="0"/>
                <w:sz w:val="20"/>
                <w:szCs w:val="20"/>
              </w:rPr>
              <w:t>③最新世界大学排名榜单（QS、THE、U.S.News、ARWU、CWUR）前100名国（境）外高校的全日制硕士研究生及以上学历毕业生（本科须为国内高校全日制毕业生）。</w:t>
            </w:r>
          </w:p>
          <w:p>
            <w:pPr>
              <w:widowControl/>
              <w:spacing w:line="240" w:lineRule="exact"/>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2.拥有相关行业工作经验，持有专业资格证书者优先。</w:t>
            </w:r>
          </w:p>
        </w:tc>
        <w:tc>
          <w:tcPr>
            <w:tcW w:w="345" w:type="pct"/>
            <w:vMerge w:val="restart"/>
            <w:shd w:val="clear" w:color="auto" w:fill="auto"/>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报名网址：</w:t>
            </w:r>
            <w:r>
              <w:rPr>
                <w:rFonts w:hint="default" w:ascii="Times New Roman" w:hAnsi="Times New Roman" w:eastAsia="宋体" w:cs="Times New Roman"/>
                <w:color w:val="auto"/>
                <w:kern w:val="0"/>
                <w:sz w:val="20"/>
                <w:szCs w:val="20"/>
                <w:u w:val="none"/>
              </w:rPr>
              <w:fldChar w:fldCharType="begin"/>
            </w:r>
            <w:r>
              <w:rPr>
                <w:rFonts w:hint="default" w:ascii="Times New Roman" w:hAnsi="Times New Roman" w:eastAsia="宋体" w:cs="Times New Roman"/>
                <w:color w:val="auto"/>
                <w:kern w:val="0"/>
                <w:sz w:val="20"/>
                <w:szCs w:val="20"/>
                <w:u w:val="none"/>
              </w:rPr>
              <w:instrText xml:space="preserve"> HYPERLINK "http://www.tzjob.com" </w:instrText>
            </w:r>
            <w:r>
              <w:rPr>
                <w:rFonts w:hint="default" w:ascii="Times New Roman" w:hAnsi="Times New Roman" w:eastAsia="宋体" w:cs="Times New Roman"/>
                <w:color w:val="auto"/>
                <w:kern w:val="0"/>
                <w:sz w:val="20"/>
                <w:szCs w:val="20"/>
                <w:u w:val="none"/>
              </w:rPr>
              <w:fldChar w:fldCharType="separate"/>
            </w:r>
            <w:r>
              <w:rPr>
                <w:rStyle w:val="6"/>
                <w:rFonts w:hint="default" w:ascii="Times New Roman" w:hAnsi="Times New Roman" w:eastAsia="宋体" w:cs="Times New Roman"/>
                <w:color w:val="auto"/>
                <w:kern w:val="0"/>
                <w:sz w:val="20"/>
                <w:szCs w:val="20"/>
                <w:u w:val="none"/>
              </w:rPr>
              <w:t>www.tzjob.com</w:t>
            </w:r>
            <w:r>
              <w:rPr>
                <w:rFonts w:hint="default" w:ascii="Times New Roman" w:hAnsi="Times New Roman" w:eastAsia="宋体" w:cs="Times New Roman"/>
                <w:color w:val="auto"/>
                <w:kern w:val="0"/>
                <w:sz w:val="20"/>
                <w:szCs w:val="20"/>
                <w:u w:val="none"/>
              </w:rPr>
              <w:fldChar w:fldCharType="end"/>
            </w:r>
          </w:p>
          <w:p>
            <w:pPr>
              <w:widowControl/>
              <w:spacing w:line="240" w:lineRule="exact"/>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电子邮箱：xhqnrccbzx@126.com</w:t>
            </w:r>
            <w:r>
              <w:rPr>
                <w:rFonts w:hint="default" w:ascii="Times New Roman" w:hAnsi="Times New Roman" w:eastAsia="宋体" w:cs="Times New Roman"/>
                <w:kern w:val="0"/>
                <w:sz w:val="20"/>
                <w:szCs w:val="20"/>
              </w:rPr>
              <w:br w:type="textWrapping"/>
            </w:r>
            <w:r>
              <w:rPr>
                <w:rFonts w:hint="default" w:ascii="Times New Roman" w:hAnsi="Times New Roman" w:eastAsia="宋体" w:cs="Times New Roman"/>
                <w:kern w:val="0"/>
                <w:sz w:val="20"/>
                <w:szCs w:val="20"/>
              </w:rPr>
              <w:t>咨询电话：0523-83326196</w:t>
            </w:r>
          </w:p>
        </w:tc>
        <w:tc>
          <w:tcPr>
            <w:tcW w:w="183" w:type="pct"/>
            <w:vMerge w:val="restar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w:t>
            </w:r>
          </w:p>
        </w:tc>
        <w:tc>
          <w:tcPr>
            <w:tcW w:w="267" w:type="pct"/>
            <w:vMerge w:val="restar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结构化面试</w:t>
            </w:r>
            <w:r>
              <w:rPr>
                <w:rFonts w:ascii="Times New Roman" w:hAnsi="Times New Roman" w:eastAsia="宋体" w:cs="Times New Roman"/>
                <w:kern w:val="0"/>
                <w:sz w:val="20"/>
                <w:szCs w:val="20"/>
              </w:rPr>
              <w:t>+</w:t>
            </w:r>
            <w:r>
              <w:rPr>
                <w:rFonts w:hint="eastAsia" w:ascii="宋体" w:hAnsi="宋体" w:eastAsia="宋体" w:cs="Times New Roman"/>
                <w:kern w:val="0"/>
                <w:sz w:val="20"/>
                <w:szCs w:val="20"/>
              </w:rPr>
              <w:t>面谈</w:t>
            </w:r>
          </w:p>
        </w:tc>
        <w:tc>
          <w:tcPr>
            <w:tcW w:w="582" w:type="pct"/>
            <w:vMerge w:val="restart"/>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1</w:t>
            </w:r>
            <w:r>
              <w:rPr>
                <w:rFonts w:ascii="Times New Roman" w:hAnsi="Times New Roman" w:eastAsia="宋体" w:cs="Times New Roman"/>
                <w:kern w:val="0"/>
                <w:sz w:val="20"/>
                <w:szCs w:val="20"/>
              </w:rPr>
              <w:t>.</w:t>
            </w:r>
            <w:r>
              <w:rPr>
                <w:rFonts w:hint="eastAsia" w:ascii="宋体" w:hAnsi="宋体" w:eastAsia="宋体" w:cs="Times New Roman"/>
                <w:kern w:val="0"/>
                <w:sz w:val="20"/>
                <w:szCs w:val="20"/>
              </w:rPr>
              <w:t>发放购房券；</w:t>
            </w:r>
            <w:r>
              <w:rPr>
                <w:rFonts w:ascii="Times New Roman" w:hAnsi="Times New Roman" w:eastAsia="宋体" w:cs="Times New Roman"/>
                <w:kern w:val="0"/>
                <w:sz w:val="20"/>
                <w:szCs w:val="20"/>
              </w:rPr>
              <w:br w:type="textWrapping"/>
            </w:r>
            <w:r>
              <w:rPr>
                <w:rFonts w:hint="eastAsia" w:ascii="Times New Roman" w:hAnsi="Times New Roman" w:eastAsia="宋体" w:cs="Times New Roman"/>
                <w:kern w:val="0"/>
                <w:sz w:val="20"/>
                <w:szCs w:val="20"/>
                <w:lang w:val="en-US" w:eastAsia="zh-CN"/>
              </w:rPr>
              <w:t>2</w:t>
            </w:r>
            <w:r>
              <w:rPr>
                <w:rFonts w:ascii="Times New Roman" w:hAnsi="Times New Roman" w:eastAsia="宋体" w:cs="Times New Roman"/>
                <w:kern w:val="0"/>
                <w:sz w:val="20"/>
                <w:szCs w:val="20"/>
              </w:rPr>
              <w:t>.5</w:t>
            </w:r>
            <w:r>
              <w:rPr>
                <w:rFonts w:hint="eastAsia" w:ascii="宋体" w:hAnsi="宋体" w:eastAsia="宋体" w:cs="Times New Roman"/>
                <w:kern w:val="0"/>
                <w:sz w:val="20"/>
                <w:szCs w:val="20"/>
              </w:rPr>
              <w:t>年内按有关标准享受生活补贴；</w:t>
            </w:r>
            <w:r>
              <w:rPr>
                <w:rFonts w:ascii="Times New Roman" w:hAnsi="Times New Roman" w:eastAsia="宋体" w:cs="Times New Roman"/>
                <w:kern w:val="0"/>
                <w:sz w:val="20"/>
                <w:szCs w:val="20"/>
              </w:rPr>
              <w:br w:type="textWrapping"/>
            </w:r>
            <w:r>
              <w:rPr>
                <w:rFonts w:hint="eastAsia" w:ascii="Times New Roman" w:hAnsi="Times New Roman" w:eastAsia="宋体" w:cs="Times New Roman"/>
                <w:kern w:val="0"/>
                <w:sz w:val="20"/>
                <w:szCs w:val="20"/>
                <w:lang w:val="en-US" w:eastAsia="zh-CN"/>
              </w:rPr>
              <w:t>3</w:t>
            </w:r>
            <w:r>
              <w:rPr>
                <w:rFonts w:ascii="Times New Roman" w:hAnsi="Times New Roman" w:eastAsia="宋体" w:cs="Times New Roman"/>
                <w:kern w:val="0"/>
                <w:sz w:val="20"/>
                <w:szCs w:val="20"/>
              </w:rPr>
              <w:t>.</w:t>
            </w:r>
            <w:r>
              <w:rPr>
                <w:rFonts w:hint="eastAsia" w:ascii="宋体" w:hAnsi="宋体" w:eastAsia="宋体" w:cs="Times New Roman"/>
                <w:kern w:val="0"/>
                <w:sz w:val="20"/>
                <w:szCs w:val="20"/>
              </w:rPr>
              <w:t>由兴化市委组织部跟踪管理，纳入优秀年轻干部库重点培养。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00"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兴化市</w:t>
            </w:r>
          </w:p>
        </w:tc>
        <w:tc>
          <w:tcPr>
            <w:tcW w:w="191"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4A</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Times New Roman"/>
                <w:kern w:val="0"/>
                <w:sz w:val="20"/>
                <w:szCs w:val="20"/>
              </w:rPr>
            </w:pPr>
            <w:r>
              <w:rPr>
                <w:rFonts w:hint="eastAsia" w:ascii="宋体" w:hAnsi="宋体" w:eastAsia="宋体" w:cs="Times New Roman"/>
                <w:kern w:val="0"/>
                <w:sz w:val="20"/>
                <w:szCs w:val="20"/>
              </w:rPr>
              <w:t>兴化市</w:t>
            </w:r>
          </w:p>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青年人才储备中心</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专业类</w:t>
            </w:r>
            <w:r>
              <w:rPr>
                <w:rFonts w:ascii="Times New Roman" w:hAnsi="Times New Roman" w:eastAsia="宋体" w:cs="Times New Roman"/>
                <w:color w:val="000000"/>
                <w:kern w:val="0"/>
                <w:sz w:val="20"/>
                <w:szCs w:val="20"/>
              </w:rPr>
              <w:t>4</w:t>
            </w:r>
          </w:p>
        </w:tc>
        <w:tc>
          <w:tcPr>
            <w:tcW w:w="228"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4A-6</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Times New Roman"/>
                <w:kern w:val="0"/>
                <w:sz w:val="20"/>
                <w:szCs w:val="20"/>
              </w:rPr>
            </w:pPr>
            <w:r>
              <w:rPr>
                <w:rFonts w:hint="eastAsia" w:ascii="宋体" w:hAnsi="宋体" w:eastAsia="宋体" w:cs="Times New Roman"/>
                <w:kern w:val="0"/>
                <w:sz w:val="20"/>
                <w:szCs w:val="20"/>
              </w:rPr>
              <w:t>本科</w:t>
            </w:r>
          </w:p>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及以上</w:t>
            </w:r>
          </w:p>
        </w:tc>
        <w:tc>
          <w:tcPr>
            <w:tcW w:w="912" w:type="pct"/>
            <w:shd w:val="clear" w:color="auto" w:fill="auto"/>
            <w:tcMar>
              <w:top w:w="28" w:type="dxa"/>
              <w:left w:w="57" w:type="dxa"/>
              <w:bottom w:w="28" w:type="dxa"/>
              <w:right w:w="57" w:type="dxa"/>
            </w:tcMar>
            <w:vAlign w:val="center"/>
          </w:tcPr>
          <w:p>
            <w:pPr>
              <w:widowControl/>
              <w:spacing w:line="230" w:lineRule="exact"/>
              <w:rPr>
                <w:rFonts w:ascii="Times New Roman" w:hAnsi="Times New Roman" w:eastAsia="宋体" w:cs="Times New Roman"/>
                <w:spacing w:val="-8"/>
                <w:kern w:val="0"/>
                <w:sz w:val="20"/>
                <w:szCs w:val="20"/>
              </w:rPr>
            </w:pPr>
            <w:r>
              <w:rPr>
                <w:rFonts w:hint="eastAsia" w:ascii="宋体" w:hAnsi="宋体" w:eastAsia="宋体" w:cs="Times New Roman"/>
                <w:spacing w:val="-8"/>
                <w:kern w:val="0"/>
                <w:sz w:val="20"/>
                <w:szCs w:val="20"/>
              </w:rPr>
              <w:t>农业机械化工程，作物栽培学与耕作学，作物遗传育种，渔业，水产养殖，作物安全生产与质量管理，农业工程与信息技术，农业机械化，渔业发展，渔业资源，水产，农业机械化及其自动化，农业电气化与自动化，农业电气化，设施农业科学与工程，渔业经济管理，渔业资源与渔政管理，水产养殖学，作物生产与品质改良，智慧农业技术，现代水产养殖技术</w:t>
            </w:r>
          </w:p>
        </w:tc>
        <w:tc>
          <w:tcPr>
            <w:tcW w:w="846" w:type="pct"/>
            <w:vMerge w:val="continue"/>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345" w:type="pct"/>
            <w:vMerge w:val="continue"/>
            <w:shd w:val="clear" w:color="auto" w:fill="auto"/>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kern w:val="0"/>
                <w:sz w:val="20"/>
                <w:szCs w:val="20"/>
              </w:rPr>
            </w:pPr>
          </w:p>
        </w:tc>
        <w:tc>
          <w:tcPr>
            <w:tcW w:w="183" w:type="pct"/>
            <w:vMerge w:val="continue"/>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267" w:type="pct"/>
            <w:vMerge w:val="continue"/>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582" w:type="pct"/>
            <w:vMerge w:val="continue"/>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611" w:hRule="atLeast"/>
          <w:jc w:val="center"/>
        </w:trPr>
        <w:tc>
          <w:tcPr>
            <w:tcW w:w="300"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兴化市</w:t>
            </w:r>
          </w:p>
        </w:tc>
        <w:tc>
          <w:tcPr>
            <w:tcW w:w="191"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4A</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Times New Roman"/>
                <w:kern w:val="0"/>
                <w:sz w:val="20"/>
                <w:szCs w:val="20"/>
              </w:rPr>
            </w:pPr>
            <w:r>
              <w:rPr>
                <w:rFonts w:hint="eastAsia" w:ascii="宋体" w:hAnsi="宋体" w:eastAsia="宋体" w:cs="Times New Roman"/>
                <w:kern w:val="0"/>
                <w:sz w:val="20"/>
                <w:szCs w:val="20"/>
              </w:rPr>
              <w:t>兴化市</w:t>
            </w:r>
          </w:p>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青年人才储备中心</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专业类</w:t>
            </w:r>
            <w:r>
              <w:rPr>
                <w:rFonts w:ascii="Times New Roman" w:hAnsi="Times New Roman" w:eastAsia="宋体" w:cs="Times New Roman"/>
                <w:color w:val="000000"/>
                <w:kern w:val="0"/>
                <w:sz w:val="20"/>
                <w:szCs w:val="20"/>
              </w:rPr>
              <w:t>5</w:t>
            </w:r>
          </w:p>
        </w:tc>
        <w:tc>
          <w:tcPr>
            <w:tcW w:w="228"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4A-7</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Times New Roman"/>
                <w:kern w:val="0"/>
                <w:sz w:val="20"/>
                <w:szCs w:val="20"/>
              </w:rPr>
            </w:pPr>
            <w:r>
              <w:rPr>
                <w:rFonts w:hint="eastAsia" w:ascii="宋体" w:hAnsi="宋体" w:eastAsia="宋体" w:cs="Times New Roman"/>
                <w:kern w:val="0"/>
                <w:sz w:val="20"/>
                <w:szCs w:val="20"/>
              </w:rPr>
              <w:t>本科</w:t>
            </w:r>
          </w:p>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及以上</w:t>
            </w:r>
          </w:p>
        </w:tc>
        <w:tc>
          <w:tcPr>
            <w:tcW w:w="912" w:type="pct"/>
            <w:shd w:val="clear" w:color="auto" w:fill="auto"/>
            <w:tcMar>
              <w:top w:w="28" w:type="dxa"/>
              <w:left w:w="57" w:type="dxa"/>
              <w:bottom w:w="28" w:type="dxa"/>
              <w:right w:w="57" w:type="dxa"/>
            </w:tcMar>
            <w:vAlign w:val="center"/>
          </w:tcPr>
          <w:p>
            <w:pPr>
              <w:widowControl/>
              <w:spacing w:line="230" w:lineRule="exact"/>
              <w:rPr>
                <w:rFonts w:ascii="Times New Roman" w:hAnsi="Times New Roman" w:eastAsia="宋体" w:cs="Times New Roman"/>
                <w:spacing w:val="-8"/>
                <w:kern w:val="0"/>
                <w:sz w:val="20"/>
                <w:szCs w:val="20"/>
              </w:rPr>
            </w:pPr>
            <w:r>
              <w:rPr>
                <w:rFonts w:hint="eastAsia" w:ascii="宋体" w:hAnsi="宋体" w:eastAsia="宋体" w:cs="Times New Roman"/>
                <w:spacing w:val="-8"/>
                <w:kern w:val="0"/>
                <w:sz w:val="20"/>
                <w:szCs w:val="20"/>
              </w:rPr>
              <w:t>财政学（含税收学），金融学（含保险学），产业经济学，应用统计，国际商务，应用经济学，数量经济学，审计，会计与金融，数字经济，经济学，国际经济与贸易，贸易经济，金融工程，投资学，会展经济与管理，经济与行政管理，经济统计学，商务经济学，能源经济，金融数学，经济与金融，资产评估，金融管理，国际贸易，金融，统计学，电子商务，财务管理，应用统计学，互联网金融，金融科技应用，大数据与财务管理，大数据与审计，跨境电子商务，金融科技</w:t>
            </w:r>
          </w:p>
        </w:tc>
        <w:tc>
          <w:tcPr>
            <w:tcW w:w="846" w:type="pct"/>
            <w:vMerge w:val="continue"/>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345" w:type="pct"/>
            <w:vMerge w:val="continue"/>
            <w:shd w:val="clear" w:color="auto" w:fill="auto"/>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kern w:val="0"/>
                <w:sz w:val="20"/>
                <w:szCs w:val="20"/>
              </w:rPr>
            </w:pPr>
          </w:p>
        </w:tc>
        <w:tc>
          <w:tcPr>
            <w:tcW w:w="183" w:type="pct"/>
            <w:vMerge w:val="continue"/>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267" w:type="pct"/>
            <w:vMerge w:val="continue"/>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582" w:type="pct"/>
            <w:vMerge w:val="continue"/>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410" w:hRule="atLeast"/>
          <w:jc w:val="center"/>
        </w:trPr>
        <w:tc>
          <w:tcPr>
            <w:tcW w:w="300"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兴化市</w:t>
            </w:r>
          </w:p>
        </w:tc>
        <w:tc>
          <w:tcPr>
            <w:tcW w:w="191"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4A</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Times New Roman"/>
                <w:kern w:val="0"/>
                <w:sz w:val="20"/>
                <w:szCs w:val="20"/>
              </w:rPr>
            </w:pPr>
            <w:r>
              <w:rPr>
                <w:rFonts w:hint="eastAsia" w:ascii="宋体" w:hAnsi="宋体" w:eastAsia="宋体" w:cs="Times New Roman"/>
                <w:kern w:val="0"/>
                <w:sz w:val="20"/>
                <w:szCs w:val="20"/>
              </w:rPr>
              <w:t>兴化市</w:t>
            </w:r>
          </w:p>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青年人才储备中心</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专业类</w:t>
            </w:r>
            <w:r>
              <w:rPr>
                <w:rFonts w:ascii="Times New Roman" w:hAnsi="Times New Roman" w:eastAsia="宋体" w:cs="Times New Roman"/>
                <w:color w:val="000000"/>
                <w:kern w:val="0"/>
                <w:sz w:val="20"/>
                <w:szCs w:val="20"/>
              </w:rPr>
              <w:t>6</w:t>
            </w:r>
          </w:p>
        </w:tc>
        <w:tc>
          <w:tcPr>
            <w:tcW w:w="228"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4A-8</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Times New Roman"/>
                <w:kern w:val="0"/>
                <w:sz w:val="20"/>
                <w:szCs w:val="20"/>
              </w:rPr>
            </w:pPr>
            <w:r>
              <w:rPr>
                <w:rFonts w:hint="eastAsia" w:ascii="宋体" w:hAnsi="宋体" w:eastAsia="宋体" w:cs="Times New Roman"/>
                <w:kern w:val="0"/>
                <w:sz w:val="20"/>
                <w:szCs w:val="20"/>
              </w:rPr>
              <w:t>本科</w:t>
            </w:r>
          </w:p>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及以上</w:t>
            </w:r>
          </w:p>
        </w:tc>
        <w:tc>
          <w:tcPr>
            <w:tcW w:w="912" w:type="pct"/>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r>
              <w:rPr>
                <w:rFonts w:hint="eastAsia" w:ascii="宋体" w:hAnsi="宋体" w:eastAsia="宋体" w:cs="Times New Roman"/>
                <w:kern w:val="0"/>
                <w:sz w:val="20"/>
                <w:szCs w:val="20"/>
              </w:rPr>
              <w:t>旅游管理，文化产业管理，旅游规划与设计，旅游管理与服务教育，会展经济与管理，会展艺术与技术，风景园林、风景园林学，景观学，景观设计，景观建筑设计，历史建筑保护工程，文物与博物馆，文物，文物与博物馆学，文物保护技术，文物鉴赏与修复，文物修复与保护</w:t>
            </w:r>
          </w:p>
        </w:tc>
        <w:tc>
          <w:tcPr>
            <w:tcW w:w="846" w:type="pct"/>
            <w:vMerge w:val="restart"/>
            <w:shd w:val="clear" w:color="auto" w:fill="auto"/>
            <w:tcMar>
              <w:top w:w="28" w:type="dxa"/>
              <w:left w:w="57" w:type="dxa"/>
              <w:bottom w:w="28" w:type="dxa"/>
              <w:right w:w="57" w:type="dxa"/>
            </w:tcMar>
            <w:vAlign w:val="center"/>
          </w:tcPr>
          <w:p>
            <w:pPr>
              <w:widowControl/>
              <w:spacing w:line="240" w:lineRule="exact"/>
              <w:jc w:val="left"/>
              <w:rPr>
                <w:rFonts w:hint="eastAsia" w:ascii="Times New Roman" w:hAnsi="Times New Roman" w:eastAsia="宋体" w:cs="Times New Roman"/>
                <w:kern w:val="0"/>
                <w:sz w:val="20"/>
                <w:szCs w:val="20"/>
              </w:rPr>
            </w:pPr>
            <w:r>
              <w:rPr>
                <w:rFonts w:hint="eastAsia" w:ascii="Times New Roman" w:hAnsi="Times New Roman" w:eastAsia="宋体" w:cs="Times New Roman"/>
                <w:kern w:val="0"/>
                <w:sz w:val="20"/>
                <w:szCs w:val="20"/>
              </w:rPr>
              <w:t>1.应具备以下条件之一：</w:t>
            </w:r>
          </w:p>
          <w:p>
            <w:pPr>
              <w:widowControl/>
              <w:spacing w:line="240" w:lineRule="exact"/>
              <w:jc w:val="left"/>
              <w:rPr>
                <w:rFonts w:hint="eastAsia" w:ascii="Times New Roman" w:hAnsi="Times New Roman" w:eastAsia="宋体" w:cs="Times New Roman"/>
                <w:kern w:val="0"/>
                <w:sz w:val="20"/>
                <w:szCs w:val="20"/>
              </w:rPr>
            </w:pPr>
            <w:r>
              <w:rPr>
                <w:rFonts w:hint="eastAsia" w:ascii="Times New Roman" w:hAnsi="Times New Roman" w:eastAsia="宋体" w:cs="Times New Roman"/>
                <w:kern w:val="0"/>
                <w:sz w:val="20"/>
                <w:szCs w:val="20"/>
              </w:rPr>
              <w:t>①第二轮“双一流”建设高校全日制本科毕业生；</w:t>
            </w:r>
          </w:p>
          <w:p>
            <w:pPr>
              <w:widowControl/>
              <w:spacing w:line="240" w:lineRule="exact"/>
              <w:jc w:val="left"/>
              <w:rPr>
                <w:rFonts w:hint="eastAsia" w:ascii="Times New Roman" w:hAnsi="Times New Roman" w:eastAsia="宋体" w:cs="Times New Roman"/>
                <w:kern w:val="0"/>
                <w:sz w:val="20"/>
                <w:szCs w:val="20"/>
              </w:rPr>
            </w:pPr>
            <w:r>
              <w:rPr>
                <w:rFonts w:hint="eastAsia" w:ascii="Times New Roman" w:hAnsi="Times New Roman" w:eastAsia="宋体" w:cs="Times New Roman"/>
                <w:kern w:val="0"/>
                <w:sz w:val="20"/>
                <w:szCs w:val="20"/>
              </w:rPr>
              <w:t>②国内高校全日制硕士研究生及以上学历毕业生；</w:t>
            </w:r>
          </w:p>
          <w:p>
            <w:pPr>
              <w:widowControl/>
              <w:spacing w:line="240" w:lineRule="exact"/>
              <w:jc w:val="left"/>
              <w:rPr>
                <w:rFonts w:hint="eastAsia" w:ascii="Times New Roman" w:hAnsi="Times New Roman" w:eastAsia="宋体" w:cs="Times New Roman"/>
                <w:kern w:val="0"/>
                <w:sz w:val="20"/>
                <w:szCs w:val="20"/>
              </w:rPr>
            </w:pPr>
            <w:r>
              <w:rPr>
                <w:rFonts w:hint="eastAsia" w:ascii="Times New Roman" w:hAnsi="Times New Roman" w:eastAsia="宋体" w:cs="Times New Roman"/>
                <w:kern w:val="0"/>
                <w:sz w:val="20"/>
                <w:szCs w:val="20"/>
              </w:rPr>
              <w:t>③最新世界大学排名榜单（QS、THE、U.S.News、ARWU、CWUR）前100名国（境）外高校的全日制硕士研究生及以上学历毕业生（本科须为国内高校全日制毕业生）。</w:t>
            </w:r>
          </w:p>
          <w:p>
            <w:pPr>
              <w:widowControl/>
              <w:spacing w:line="240" w:lineRule="exact"/>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2.拥有相关行业工作经验，持有专业资格证书者优先。</w:t>
            </w:r>
          </w:p>
        </w:tc>
        <w:tc>
          <w:tcPr>
            <w:tcW w:w="345" w:type="pct"/>
            <w:vMerge w:val="restart"/>
            <w:shd w:val="clear" w:color="auto" w:fill="auto"/>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color w:val="auto"/>
                <w:kern w:val="0"/>
                <w:sz w:val="20"/>
                <w:szCs w:val="20"/>
                <w:u w:val="none"/>
              </w:rPr>
            </w:pPr>
            <w:r>
              <w:rPr>
                <w:rFonts w:hint="default" w:ascii="Times New Roman" w:hAnsi="Times New Roman" w:eastAsia="宋体" w:cs="Times New Roman"/>
                <w:kern w:val="0"/>
                <w:sz w:val="20"/>
                <w:szCs w:val="20"/>
              </w:rPr>
              <w:t>报名网址：</w:t>
            </w:r>
            <w:r>
              <w:rPr>
                <w:rFonts w:hint="default" w:ascii="Times New Roman" w:hAnsi="Times New Roman" w:eastAsia="宋体" w:cs="Times New Roman"/>
                <w:color w:val="auto"/>
                <w:kern w:val="0"/>
                <w:sz w:val="20"/>
                <w:szCs w:val="20"/>
                <w:u w:val="none"/>
              </w:rPr>
              <w:fldChar w:fldCharType="begin"/>
            </w:r>
            <w:r>
              <w:rPr>
                <w:rFonts w:hint="default" w:ascii="Times New Roman" w:hAnsi="Times New Roman" w:eastAsia="宋体" w:cs="Times New Roman"/>
                <w:color w:val="auto"/>
                <w:kern w:val="0"/>
                <w:sz w:val="20"/>
                <w:szCs w:val="20"/>
                <w:u w:val="none"/>
              </w:rPr>
              <w:instrText xml:space="preserve"> HYPERLINK "http://www.tzjob.com" </w:instrText>
            </w:r>
            <w:r>
              <w:rPr>
                <w:rFonts w:hint="default" w:ascii="Times New Roman" w:hAnsi="Times New Roman" w:eastAsia="宋体" w:cs="Times New Roman"/>
                <w:color w:val="auto"/>
                <w:kern w:val="0"/>
                <w:sz w:val="20"/>
                <w:szCs w:val="20"/>
                <w:u w:val="none"/>
              </w:rPr>
              <w:fldChar w:fldCharType="separate"/>
            </w:r>
            <w:r>
              <w:rPr>
                <w:rStyle w:val="6"/>
                <w:rFonts w:hint="default" w:ascii="Times New Roman" w:hAnsi="Times New Roman" w:eastAsia="宋体" w:cs="Times New Roman"/>
                <w:color w:val="auto"/>
                <w:kern w:val="0"/>
                <w:sz w:val="20"/>
                <w:szCs w:val="20"/>
                <w:u w:val="none"/>
              </w:rPr>
              <w:t>www.tzjob.com</w:t>
            </w:r>
            <w:r>
              <w:rPr>
                <w:rFonts w:hint="default" w:ascii="Times New Roman" w:hAnsi="Times New Roman" w:eastAsia="宋体" w:cs="Times New Roman"/>
                <w:color w:val="auto"/>
                <w:kern w:val="0"/>
                <w:sz w:val="20"/>
                <w:szCs w:val="20"/>
                <w:u w:val="none"/>
              </w:rPr>
              <w:fldChar w:fldCharType="end"/>
            </w:r>
          </w:p>
          <w:p>
            <w:pPr>
              <w:widowControl/>
              <w:spacing w:line="240" w:lineRule="exact"/>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电子邮箱：xhqnrccbzx@126.com</w:t>
            </w:r>
            <w:r>
              <w:rPr>
                <w:rFonts w:hint="default" w:ascii="Times New Roman" w:hAnsi="Times New Roman" w:eastAsia="宋体" w:cs="Times New Roman"/>
                <w:kern w:val="0"/>
                <w:sz w:val="20"/>
                <w:szCs w:val="20"/>
              </w:rPr>
              <w:br w:type="textWrapping"/>
            </w:r>
            <w:r>
              <w:rPr>
                <w:rFonts w:hint="default" w:ascii="Times New Roman" w:hAnsi="Times New Roman" w:eastAsia="宋体" w:cs="Times New Roman"/>
                <w:kern w:val="0"/>
                <w:sz w:val="20"/>
                <w:szCs w:val="20"/>
              </w:rPr>
              <w:t>咨询电话：0523-83326196</w:t>
            </w:r>
          </w:p>
        </w:tc>
        <w:tc>
          <w:tcPr>
            <w:tcW w:w="183" w:type="pct"/>
            <w:vMerge w:val="restar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w:t>
            </w:r>
          </w:p>
        </w:tc>
        <w:tc>
          <w:tcPr>
            <w:tcW w:w="267" w:type="pct"/>
            <w:vMerge w:val="restar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结构化面试</w:t>
            </w:r>
            <w:r>
              <w:rPr>
                <w:rFonts w:ascii="Times New Roman" w:hAnsi="Times New Roman" w:eastAsia="宋体" w:cs="Times New Roman"/>
                <w:kern w:val="0"/>
                <w:sz w:val="20"/>
                <w:szCs w:val="20"/>
              </w:rPr>
              <w:t>+</w:t>
            </w:r>
            <w:r>
              <w:rPr>
                <w:rFonts w:hint="eastAsia" w:ascii="宋体" w:hAnsi="宋体" w:eastAsia="宋体" w:cs="Times New Roman"/>
                <w:kern w:val="0"/>
                <w:sz w:val="20"/>
                <w:szCs w:val="20"/>
              </w:rPr>
              <w:t>面谈</w:t>
            </w:r>
          </w:p>
        </w:tc>
        <w:tc>
          <w:tcPr>
            <w:tcW w:w="582" w:type="pct"/>
            <w:vMerge w:val="restart"/>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1</w:t>
            </w:r>
            <w:r>
              <w:rPr>
                <w:rFonts w:ascii="Times New Roman" w:hAnsi="Times New Roman" w:eastAsia="宋体" w:cs="Times New Roman"/>
                <w:kern w:val="0"/>
                <w:sz w:val="20"/>
                <w:szCs w:val="20"/>
              </w:rPr>
              <w:t>.</w:t>
            </w:r>
            <w:r>
              <w:rPr>
                <w:rFonts w:hint="eastAsia" w:ascii="宋体" w:hAnsi="宋体" w:eastAsia="宋体" w:cs="Times New Roman"/>
                <w:kern w:val="0"/>
                <w:sz w:val="20"/>
                <w:szCs w:val="20"/>
              </w:rPr>
              <w:t>发放购房券；</w:t>
            </w:r>
            <w:r>
              <w:rPr>
                <w:rFonts w:ascii="Times New Roman" w:hAnsi="Times New Roman" w:eastAsia="宋体" w:cs="Times New Roman"/>
                <w:kern w:val="0"/>
                <w:sz w:val="20"/>
                <w:szCs w:val="20"/>
              </w:rPr>
              <w:br w:type="textWrapping"/>
            </w:r>
            <w:r>
              <w:rPr>
                <w:rFonts w:hint="eastAsia" w:ascii="Times New Roman" w:hAnsi="Times New Roman" w:eastAsia="宋体" w:cs="Times New Roman"/>
                <w:kern w:val="0"/>
                <w:sz w:val="20"/>
                <w:szCs w:val="20"/>
                <w:lang w:val="en-US" w:eastAsia="zh-CN"/>
              </w:rPr>
              <w:t>2</w:t>
            </w:r>
            <w:r>
              <w:rPr>
                <w:rFonts w:ascii="Times New Roman" w:hAnsi="Times New Roman" w:eastAsia="宋体" w:cs="Times New Roman"/>
                <w:kern w:val="0"/>
                <w:sz w:val="20"/>
                <w:szCs w:val="20"/>
              </w:rPr>
              <w:t>.5</w:t>
            </w:r>
            <w:r>
              <w:rPr>
                <w:rFonts w:hint="eastAsia" w:ascii="宋体" w:hAnsi="宋体" w:eastAsia="宋体" w:cs="Times New Roman"/>
                <w:kern w:val="0"/>
                <w:sz w:val="20"/>
                <w:szCs w:val="20"/>
              </w:rPr>
              <w:t>年内按有关标准享受生活补贴；</w:t>
            </w:r>
            <w:r>
              <w:rPr>
                <w:rFonts w:ascii="Times New Roman" w:hAnsi="Times New Roman" w:eastAsia="宋体" w:cs="Times New Roman"/>
                <w:kern w:val="0"/>
                <w:sz w:val="20"/>
                <w:szCs w:val="20"/>
              </w:rPr>
              <w:br w:type="textWrapping"/>
            </w:r>
            <w:r>
              <w:rPr>
                <w:rFonts w:hint="eastAsia" w:ascii="Times New Roman" w:hAnsi="Times New Roman" w:eastAsia="宋体" w:cs="Times New Roman"/>
                <w:kern w:val="0"/>
                <w:sz w:val="20"/>
                <w:szCs w:val="20"/>
                <w:lang w:val="en-US" w:eastAsia="zh-CN"/>
              </w:rPr>
              <w:t>3</w:t>
            </w:r>
            <w:r>
              <w:rPr>
                <w:rFonts w:ascii="Times New Roman" w:hAnsi="Times New Roman" w:eastAsia="宋体" w:cs="Times New Roman"/>
                <w:kern w:val="0"/>
                <w:sz w:val="20"/>
                <w:szCs w:val="20"/>
              </w:rPr>
              <w:t>.</w:t>
            </w:r>
            <w:r>
              <w:rPr>
                <w:rFonts w:hint="eastAsia" w:ascii="宋体" w:hAnsi="宋体" w:eastAsia="宋体" w:cs="Times New Roman"/>
                <w:kern w:val="0"/>
                <w:sz w:val="20"/>
                <w:szCs w:val="20"/>
              </w:rPr>
              <w:t>由兴化市委组织部跟踪管理，纳入优秀年轻干部库重点培养。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623" w:hRule="atLeast"/>
          <w:jc w:val="center"/>
        </w:trPr>
        <w:tc>
          <w:tcPr>
            <w:tcW w:w="300"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兴化市</w:t>
            </w:r>
          </w:p>
        </w:tc>
        <w:tc>
          <w:tcPr>
            <w:tcW w:w="191"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4A</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Times New Roman"/>
                <w:kern w:val="0"/>
                <w:sz w:val="20"/>
                <w:szCs w:val="20"/>
              </w:rPr>
            </w:pPr>
            <w:r>
              <w:rPr>
                <w:rFonts w:hint="eastAsia" w:ascii="宋体" w:hAnsi="宋体" w:eastAsia="宋体" w:cs="Times New Roman"/>
                <w:kern w:val="0"/>
                <w:sz w:val="20"/>
                <w:szCs w:val="20"/>
              </w:rPr>
              <w:t>兴化市</w:t>
            </w:r>
          </w:p>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青年人才储备中心</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专业类</w:t>
            </w:r>
            <w:r>
              <w:rPr>
                <w:rFonts w:ascii="Times New Roman" w:hAnsi="Times New Roman" w:eastAsia="宋体" w:cs="Times New Roman"/>
                <w:color w:val="000000"/>
                <w:kern w:val="0"/>
                <w:sz w:val="20"/>
                <w:szCs w:val="20"/>
              </w:rPr>
              <w:t>7</w:t>
            </w:r>
          </w:p>
        </w:tc>
        <w:tc>
          <w:tcPr>
            <w:tcW w:w="228"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4A-9</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Times New Roman"/>
                <w:kern w:val="0"/>
                <w:sz w:val="20"/>
                <w:szCs w:val="20"/>
              </w:rPr>
            </w:pPr>
            <w:r>
              <w:rPr>
                <w:rFonts w:hint="eastAsia" w:ascii="宋体" w:hAnsi="宋体" w:eastAsia="宋体" w:cs="Times New Roman"/>
                <w:kern w:val="0"/>
                <w:sz w:val="20"/>
                <w:szCs w:val="20"/>
              </w:rPr>
              <w:t>本科</w:t>
            </w:r>
          </w:p>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及以上</w:t>
            </w:r>
          </w:p>
        </w:tc>
        <w:tc>
          <w:tcPr>
            <w:tcW w:w="912" w:type="pct"/>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r>
              <w:rPr>
                <w:rFonts w:hint="eastAsia" w:ascii="宋体" w:hAnsi="宋体" w:eastAsia="宋体" w:cs="Times New Roman"/>
                <w:kern w:val="0"/>
                <w:sz w:val="20"/>
                <w:szCs w:val="20"/>
              </w:rPr>
              <w:t>媒体创意</w:t>
            </w:r>
            <w:r>
              <w:rPr>
                <w:rFonts w:hint="eastAsia" w:ascii="宋体" w:hAnsi="宋体" w:eastAsia="宋体" w:cs="Times New Roman"/>
                <w:kern w:val="0"/>
                <w:sz w:val="20"/>
                <w:szCs w:val="20"/>
                <w:lang w:eastAsia="zh-CN"/>
              </w:rPr>
              <w:t>，</w:t>
            </w:r>
            <w:r>
              <w:rPr>
                <w:rFonts w:hint="eastAsia" w:ascii="宋体" w:hAnsi="宋体" w:eastAsia="宋体" w:cs="Times New Roman"/>
                <w:kern w:val="0"/>
                <w:sz w:val="20"/>
                <w:szCs w:val="20"/>
              </w:rPr>
              <w:t>网络与新媒体，影视摄制，会展艺术与技术，影视艺术技术，数字媒体艺术，数字媒体，视觉传达设计，视觉传达，影视摄影与制作，展示艺术设计，数字影像设计</w:t>
            </w:r>
          </w:p>
        </w:tc>
        <w:tc>
          <w:tcPr>
            <w:tcW w:w="846" w:type="pct"/>
            <w:vMerge w:val="continue"/>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345" w:type="pct"/>
            <w:vMerge w:val="continue"/>
            <w:shd w:val="clear" w:color="auto" w:fill="auto"/>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kern w:val="0"/>
                <w:sz w:val="20"/>
                <w:szCs w:val="20"/>
              </w:rPr>
            </w:pPr>
          </w:p>
        </w:tc>
        <w:tc>
          <w:tcPr>
            <w:tcW w:w="183" w:type="pct"/>
            <w:vMerge w:val="continue"/>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267" w:type="pct"/>
            <w:vMerge w:val="continue"/>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582" w:type="pct"/>
            <w:vMerge w:val="continue"/>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198" w:hRule="atLeast"/>
          <w:jc w:val="center"/>
        </w:trPr>
        <w:tc>
          <w:tcPr>
            <w:tcW w:w="300"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兴化市</w:t>
            </w:r>
          </w:p>
        </w:tc>
        <w:tc>
          <w:tcPr>
            <w:tcW w:w="191"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4A</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Times New Roman"/>
                <w:kern w:val="0"/>
                <w:sz w:val="20"/>
                <w:szCs w:val="20"/>
              </w:rPr>
            </w:pPr>
            <w:r>
              <w:rPr>
                <w:rFonts w:hint="eastAsia" w:ascii="宋体" w:hAnsi="宋体" w:eastAsia="宋体" w:cs="Times New Roman"/>
                <w:kern w:val="0"/>
                <w:sz w:val="20"/>
                <w:szCs w:val="20"/>
              </w:rPr>
              <w:t>兴化市</w:t>
            </w:r>
          </w:p>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青年人才储备中心</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专业类</w:t>
            </w:r>
            <w:r>
              <w:rPr>
                <w:rFonts w:ascii="Times New Roman" w:hAnsi="Times New Roman" w:eastAsia="宋体" w:cs="Times New Roman"/>
                <w:color w:val="000000"/>
                <w:kern w:val="0"/>
                <w:sz w:val="20"/>
                <w:szCs w:val="20"/>
              </w:rPr>
              <w:t>8</w:t>
            </w:r>
          </w:p>
        </w:tc>
        <w:tc>
          <w:tcPr>
            <w:tcW w:w="228"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4A-10</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Times New Roman"/>
                <w:kern w:val="0"/>
                <w:sz w:val="20"/>
                <w:szCs w:val="20"/>
              </w:rPr>
            </w:pPr>
            <w:r>
              <w:rPr>
                <w:rFonts w:hint="eastAsia" w:ascii="宋体" w:hAnsi="宋体" w:eastAsia="宋体" w:cs="Times New Roman"/>
                <w:kern w:val="0"/>
                <w:sz w:val="20"/>
                <w:szCs w:val="20"/>
              </w:rPr>
              <w:t>本科</w:t>
            </w:r>
          </w:p>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及以上</w:t>
            </w:r>
          </w:p>
        </w:tc>
        <w:tc>
          <w:tcPr>
            <w:tcW w:w="912" w:type="pct"/>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r>
              <w:rPr>
                <w:rFonts w:hint="eastAsia" w:ascii="宋体" w:hAnsi="宋体" w:eastAsia="宋体" w:cs="Times New Roman"/>
                <w:kern w:val="0"/>
                <w:sz w:val="20"/>
                <w:szCs w:val="20"/>
              </w:rPr>
              <w:t>城乡规划学，城市规划与设计（含：风景园林规划与设计），城市规划，城市与区域规划，人文地理与城乡规划，城乡规划，资源环境与城乡规划管理，城市设计数字技术，土地资源管理，测绘科学与技术，大地测量学与测量工程，摄影测量与遥感，遥感科学与技术，大地测量，土地管理，土地资源管理（国土资源与房地产方向），土地规划与管理，国土整治与规划，国土资源管理，国土资源开发与管理，国土规划与整治，土地规划与利用，测绘工程，测绘工程技术，现代测绘工程技术，空间科学与数字技术</w:t>
            </w:r>
          </w:p>
        </w:tc>
        <w:tc>
          <w:tcPr>
            <w:tcW w:w="846" w:type="pct"/>
            <w:vMerge w:val="continue"/>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345" w:type="pct"/>
            <w:vMerge w:val="continue"/>
            <w:shd w:val="clear" w:color="auto" w:fill="auto"/>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kern w:val="0"/>
                <w:sz w:val="20"/>
                <w:szCs w:val="20"/>
              </w:rPr>
            </w:pPr>
          </w:p>
        </w:tc>
        <w:tc>
          <w:tcPr>
            <w:tcW w:w="183" w:type="pct"/>
            <w:vMerge w:val="continue"/>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267" w:type="pct"/>
            <w:vMerge w:val="continue"/>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582" w:type="pct"/>
            <w:vMerge w:val="continue"/>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139" w:hRule="atLeast"/>
          <w:jc w:val="center"/>
        </w:trPr>
        <w:tc>
          <w:tcPr>
            <w:tcW w:w="300"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19"/>
                <w:szCs w:val="19"/>
              </w:rPr>
            </w:pPr>
            <w:r>
              <w:rPr>
                <w:rFonts w:hint="eastAsia" w:ascii="宋体" w:hAnsi="宋体" w:eastAsia="宋体" w:cs="宋体"/>
                <w:kern w:val="0"/>
                <w:sz w:val="19"/>
                <w:szCs w:val="19"/>
              </w:rPr>
              <w:t>海陵区</w:t>
            </w:r>
          </w:p>
        </w:tc>
        <w:tc>
          <w:tcPr>
            <w:tcW w:w="191"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19"/>
                <w:szCs w:val="19"/>
              </w:rPr>
            </w:pPr>
            <w:r>
              <w:rPr>
                <w:rFonts w:hint="eastAsia" w:ascii="Times New Roman" w:hAnsi="Times New Roman" w:eastAsia="宋体" w:cs="宋体"/>
                <w:kern w:val="0"/>
                <w:sz w:val="19"/>
                <w:szCs w:val="19"/>
              </w:rPr>
              <w:t>5A</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19"/>
                <w:szCs w:val="19"/>
              </w:rPr>
            </w:pPr>
            <w:r>
              <w:rPr>
                <w:rFonts w:hint="eastAsia" w:ascii="宋体" w:hAnsi="宋体" w:eastAsia="宋体" w:cs="宋体"/>
                <w:kern w:val="0"/>
                <w:sz w:val="19"/>
                <w:szCs w:val="19"/>
              </w:rPr>
              <w:t>海陵区</w:t>
            </w:r>
          </w:p>
          <w:p>
            <w:pPr>
              <w:widowControl/>
              <w:spacing w:line="240" w:lineRule="exact"/>
              <w:jc w:val="center"/>
              <w:rPr>
                <w:rFonts w:ascii="宋体" w:hAnsi="宋体" w:eastAsia="宋体" w:cs="宋体"/>
                <w:kern w:val="0"/>
                <w:sz w:val="19"/>
                <w:szCs w:val="19"/>
              </w:rPr>
            </w:pPr>
            <w:r>
              <w:rPr>
                <w:rFonts w:hint="eastAsia" w:ascii="宋体" w:hAnsi="宋体" w:eastAsia="宋体" w:cs="宋体"/>
                <w:kern w:val="0"/>
                <w:sz w:val="19"/>
                <w:szCs w:val="19"/>
              </w:rPr>
              <w:t>干部规划发展中心</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19"/>
                <w:szCs w:val="19"/>
              </w:rPr>
            </w:pPr>
            <w:r>
              <w:rPr>
                <w:rFonts w:hint="eastAsia" w:ascii="宋体" w:hAnsi="宋体" w:eastAsia="宋体" w:cs="宋体"/>
                <w:kern w:val="0"/>
                <w:sz w:val="19"/>
                <w:szCs w:val="19"/>
              </w:rPr>
              <w:t>综合类</w:t>
            </w:r>
            <w:r>
              <w:rPr>
                <w:rFonts w:hint="eastAsia" w:ascii="宋体" w:hAnsi="宋体" w:eastAsia="宋体" w:cs="宋体"/>
                <w:kern w:val="0"/>
                <w:sz w:val="19"/>
                <w:szCs w:val="19"/>
              </w:rPr>
              <w:br w:type="textWrapping"/>
            </w:r>
            <w:r>
              <w:rPr>
                <w:rFonts w:hint="eastAsia" w:ascii="宋体" w:hAnsi="宋体" w:eastAsia="宋体" w:cs="宋体"/>
                <w:kern w:val="0"/>
                <w:sz w:val="19"/>
                <w:szCs w:val="19"/>
              </w:rPr>
              <w:t>（男生）</w:t>
            </w:r>
          </w:p>
        </w:tc>
        <w:tc>
          <w:tcPr>
            <w:tcW w:w="228"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19"/>
                <w:szCs w:val="19"/>
              </w:rPr>
            </w:pPr>
            <w:r>
              <w:rPr>
                <w:rFonts w:ascii="Times New Roman" w:hAnsi="Times New Roman" w:eastAsia="宋体" w:cs="Times New Roman"/>
                <w:kern w:val="0"/>
                <w:sz w:val="19"/>
                <w:szCs w:val="19"/>
              </w:rPr>
              <w:t>5A-1</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19"/>
                <w:szCs w:val="19"/>
              </w:rPr>
            </w:pPr>
            <w:r>
              <w:rPr>
                <w:rFonts w:hint="eastAsia" w:ascii="Times New Roman" w:hAnsi="Times New Roman" w:eastAsia="宋体" w:cs="宋体"/>
                <w:kern w:val="0"/>
                <w:sz w:val="19"/>
                <w:szCs w:val="19"/>
              </w:rPr>
              <w:t>8</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19"/>
                <w:szCs w:val="19"/>
              </w:rPr>
            </w:pPr>
            <w:r>
              <w:rPr>
                <w:rFonts w:hint="eastAsia" w:ascii="宋体" w:hAnsi="宋体" w:eastAsia="宋体" w:cs="宋体"/>
                <w:kern w:val="0"/>
                <w:sz w:val="19"/>
                <w:szCs w:val="19"/>
              </w:rPr>
              <w:t>本科</w:t>
            </w:r>
          </w:p>
          <w:p>
            <w:pPr>
              <w:widowControl/>
              <w:spacing w:line="240" w:lineRule="exact"/>
              <w:jc w:val="center"/>
              <w:rPr>
                <w:rFonts w:ascii="宋体" w:hAnsi="宋体" w:eastAsia="宋体" w:cs="宋体"/>
                <w:kern w:val="0"/>
                <w:sz w:val="19"/>
                <w:szCs w:val="19"/>
              </w:rPr>
            </w:pPr>
            <w:r>
              <w:rPr>
                <w:rFonts w:hint="eastAsia" w:ascii="宋体" w:hAnsi="宋体" w:eastAsia="宋体" w:cs="宋体"/>
                <w:kern w:val="0"/>
                <w:sz w:val="19"/>
                <w:szCs w:val="19"/>
              </w:rPr>
              <w:t>及以上</w:t>
            </w:r>
          </w:p>
        </w:tc>
        <w:tc>
          <w:tcPr>
            <w:tcW w:w="912"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19"/>
                <w:szCs w:val="19"/>
              </w:rPr>
            </w:pPr>
            <w:r>
              <w:rPr>
                <w:rFonts w:hint="eastAsia" w:ascii="宋体" w:hAnsi="宋体" w:eastAsia="宋体" w:cs="宋体"/>
                <w:kern w:val="0"/>
                <w:sz w:val="19"/>
                <w:szCs w:val="19"/>
              </w:rPr>
              <w:t>不限</w:t>
            </w:r>
          </w:p>
        </w:tc>
        <w:tc>
          <w:tcPr>
            <w:tcW w:w="846" w:type="pct"/>
            <w:vMerge w:val="restart"/>
            <w:shd w:val="clear" w:color="auto" w:fill="auto"/>
            <w:tcMar>
              <w:top w:w="28" w:type="dxa"/>
              <w:left w:w="57" w:type="dxa"/>
              <w:bottom w:w="28" w:type="dxa"/>
              <w:right w:w="57" w:type="dxa"/>
            </w:tcMar>
            <w:vAlign w:val="center"/>
          </w:tcPr>
          <w:p>
            <w:pPr>
              <w:widowControl/>
              <w:spacing w:line="240" w:lineRule="exact"/>
              <w:jc w:val="left"/>
              <w:rPr>
                <w:rFonts w:ascii="宋体" w:hAnsi="宋体" w:eastAsia="宋体" w:cs="宋体"/>
                <w:kern w:val="0"/>
                <w:sz w:val="19"/>
                <w:szCs w:val="19"/>
              </w:rPr>
            </w:pPr>
            <w:r>
              <w:rPr>
                <w:rFonts w:hint="eastAsia" w:ascii="Times New Roman" w:hAnsi="Times New Roman" w:eastAsia="宋体" w:cs="宋体"/>
                <w:kern w:val="0"/>
                <w:sz w:val="19"/>
                <w:szCs w:val="19"/>
              </w:rPr>
              <w:t>1</w:t>
            </w:r>
            <w:r>
              <w:rPr>
                <w:rFonts w:hint="eastAsia" w:ascii="宋体" w:hAnsi="宋体" w:eastAsia="宋体" w:cs="宋体"/>
                <w:kern w:val="0"/>
                <w:sz w:val="19"/>
                <w:szCs w:val="19"/>
              </w:rPr>
              <w:t>.须具有泰州市户籍</w:t>
            </w:r>
            <w:r>
              <w:rPr>
                <w:rFonts w:hint="eastAsia" w:ascii="宋体" w:hAnsi="宋体" w:eastAsia="宋体" w:cs="宋体"/>
                <w:kern w:val="0"/>
                <w:sz w:val="19"/>
                <w:szCs w:val="19"/>
                <w:lang w:eastAsia="zh-CN"/>
              </w:rPr>
              <w:t>，</w:t>
            </w:r>
            <w:r>
              <w:rPr>
                <w:rFonts w:hint="eastAsia" w:ascii="宋体" w:hAnsi="宋体" w:eastAsia="宋体" w:cs="宋体"/>
                <w:kern w:val="0"/>
                <w:sz w:val="19"/>
                <w:szCs w:val="19"/>
                <w:lang w:val="en-US" w:eastAsia="zh-CN"/>
              </w:rPr>
              <w:t>清华大学、北京大学不限户籍</w:t>
            </w:r>
            <w:r>
              <w:rPr>
                <w:rFonts w:hint="eastAsia" w:ascii="宋体" w:hAnsi="宋体" w:eastAsia="宋体" w:cs="宋体"/>
                <w:kern w:val="0"/>
                <w:sz w:val="19"/>
                <w:szCs w:val="19"/>
              </w:rPr>
              <w:t>（以报名截止日前本人、父母或配偶的户籍状态为准）；</w:t>
            </w:r>
            <w:r>
              <w:rPr>
                <w:rFonts w:ascii="Calibri" w:hAnsi="Calibri" w:eastAsia="宋体" w:cs="宋体"/>
                <w:kern w:val="0"/>
                <w:sz w:val="19"/>
                <w:szCs w:val="19"/>
              </w:rPr>
              <w:br w:type="textWrapping"/>
            </w:r>
            <w:r>
              <w:rPr>
                <w:rFonts w:ascii="Times New Roman" w:hAnsi="Times New Roman" w:eastAsia="宋体" w:cs="宋体"/>
                <w:kern w:val="0"/>
                <w:sz w:val="19"/>
                <w:szCs w:val="19"/>
              </w:rPr>
              <w:t>2</w:t>
            </w:r>
            <w:r>
              <w:rPr>
                <w:rFonts w:ascii="Calibri" w:hAnsi="Calibri" w:eastAsia="宋体" w:cs="宋体"/>
                <w:kern w:val="0"/>
                <w:sz w:val="19"/>
                <w:szCs w:val="19"/>
              </w:rPr>
              <w:t>.</w:t>
            </w:r>
            <w:r>
              <w:rPr>
                <w:rFonts w:hint="eastAsia" w:ascii="宋体" w:hAnsi="宋体" w:eastAsia="宋体" w:cs="宋体"/>
                <w:kern w:val="0"/>
                <w:sz w:val="19"/>
                <w:szCs w:val="19"/>
              </w:rPr>
              <w:t>毕业学校应具备以下条件之一：</w:t>
            </w:r>
            <w:r>
              <w:rPr>
                <w:rFonts w:hint="eastAsia" w:ascii="宋体" w:hAnsi="宋体" w:eastAsia="宋体" w:cs="宋体"/>
                <w:kern w:val="0"/>
                <w:sz w:val="19"/>
                <w:szCs w:val="19"/>
              </w:rPr>
              <w:br w:type="textWrapping"/>
            </w:r>
            <w:r>
              <w:rPr>
                <w:rFonts w:ascii="宋体" w:hAnsi="宋体" w:eastAsia="宋体" w:cs="宋体"/>
                <w:kern w:val="0"/>
                <w:sz w:val="20"/>
                <w:szCs w:val="20"/>
              </w:rPr>
              <w:t>①</w:t>
            </w:r>
            <w:r>
              <w:rPr>
                <w:rFonts w:hint="eastAsia" w:ascii="宋体" w:hAnsi="宋体" w:eastAsia="宋体" w:cs="宋体"/>
                <w:kern w:val="0"/>
                <w:sz w:val="20"/>
                <w:szCs w:val="20"/>
              </w:rPr>
              <w:t>第一轮“一流大学”建设高校全日制本科毕业生；</w:t>
            </w:r>
            <w:r>
              <w:rPr>
                <w:rFonts w:hint="eastAsia" w:ascii="宋体" w:hAnsi="宋体" w:eastAsia="宋体" w:cs="宋体"/>
                <w:kern w:val="0"/>
                <w:sz w:val="20"/>
                <w:szCs w:val="20"/>
              </w:rPr>
              <w:br w:type="textWrapping"/>
            </w:r>
            <w:r>
              <w:rPr>
                <w:rFonts w:ascii="宋体" w:hAnsi="宋体" w:eastAsia="宋体" w:cs="宋体"/>
                <w:kern w:val="0"/>
                <w:sz w:val="20"/>
                <w:szCs w:val="20"/>
              </w:rPr>
              <w:t>②</w:t>
            </w:r>
            <w:r>
              <w:rPr>
                <w:rFonts w:hint="eastAsia" w:ascii="宋体" w:hAnsi="宋体" w:eastAsia="宋体" w:cs="宋体"/>
                <w:kern w:val="0"/>
                <w:sz w:val="20"/>
                <w:szCs w:val="20"/>
              </w:rPr>
              <w:t>第二轮“双一流”建设高校全日制硕士研究生及以上学历毕业生（本科须为第二轮“双一流”建设高校全日制毕业生）；</w:t>
            </w:r>
            <w:r>
              <w:rPr>
                <w:rFonts w:hint="eastAsia" w:ascii="宋体" w:hAnsi="宋体" w:eastAsia="宋体" w:cs="宋体"/>
                <w:kern w:val="0"/>
                <w:sz w:val="20"/>
                <w:szCs w:val="20"/>
              </w:rPr>
              <w:br w:type="textWrapping"/>
            </w:r>
            <w:r>
              <w:rPr>
                <w:rFonts w:hint="eastAsia" w:ascii="宋体" w:hAnsi="宋体" w:eastAsia="宋体" w:cs="宋体"/>
                <w:kern w:val="0"/>
                <w:sz w:val="20"/>
                <w:szCs w:val="20"/>
              </w:rPr>
              <w:t>③最新世界大学排名榜单（</w:t>
            </w:r>
            <w:r>
              <w:rPr>
                <w:rFonts w:hint="eastAsia" w:ascii="Times New Roman" w:hAnsi="Times New Roman" w:eastAsia="宋体" w:cs="宋体"/>
                <w:kern w:val="0"/>
                <w:sz w:val="20"/>
                <w:szCs w:val="20"/>
              </w:rPr>
              <w:t>QS</w:t>
            </w:r>
            <w:r>
              <w:rPr>
                <w:rFonts w:hint="eastAsia" w:ascii="宋体" w:hAnsi="宋体" w:eastAsia="宋体" w:cs="宋体"/>
                <w:kern w:val="0"/>
                <w:sz w:val="20"/>
                <w:szCs w:val="20"/>
              </w:rPr>
              <w:t>、</w:t>
            </w:r>
            <w:r>
              <w:rPr>
                <w:rFonts w:hint="eastAsia" w:ascii="Times New Roman" w:hAnsi="Times New Roman" w:eastAsia="宋体" w:cs="宋体"/>
                <w:kern w:val="0"/>
                <w:sz w:val="20"/>
                <w:szCs w:val="20"/>
              </w:rPr>
              <w:t>THE</w:t>
            </w:r>
            <w:r>
              <w:rPr>
                <w:rFonts w:hint="eastAsia" w:ascii="宋体" w:hAnsi="宋体" w:eastAsia="宋体" w:cs="宋体"/>
                <w:kern w:val="0"/>
                <w:sz w:val="20"/>
                <w:szCs w:val="20"/>
              </w:rPr>
              <w:t>、</w:t>
            </w:r>
            <w:r>
              <w:rPr>
                <w:rFonts w:hint="eastAsia" w:ascii="Times New Roman" w:hAnsi="Times New Roman" w:eastAsia="宋体" w:cs="宋体"/>
                <w:kern w:val="0"/>
                <w:sz w:val="20"/>
                <w:szCs w:val="20"/>
              </w:rPr>
              <w:t>U</w:t>
            </w:r>
            <w:r>
              <w:rPr>
                <w:rFonts w:hint="eastAsia" w:ascii="宋体" w:hAnsi="宋体" w:eastAsia="宋体" w:cs="宋体"/>
                <w:kern w:val="0"/>
                <w:sz w:val="20"/>
                <w:szCs w:val="20"/>
              </w:rPr>
              <w:t>.</w:t>
            </w:r>
            <w:r>
              <w:rPr>
                <w:rFonts w:hint="eastAsia" w:ascii="Times New Roman" w:hAnsi="Times New Roman" w:eastAsia="宋体" w:cs="宋体"/>
                <w:kern w:val="0"/>
                <w:sz w:val="20"/>
                <w:szCs w:val="20"/>
              </w:rPr>
              <w:t>S</w:t>
            </w:r>
            <w:r>
              <w:rPr>
                <w:rFonts w:hint="eastAsia" w:ascii="宋体" w:hAnsi="宋体" w:eastAsia="宋体" w:cs="宋体"/>
                <w:kern w:val="0"/>
                <w:sz w:val="20"/>
                <w:szCs w:val="20"/>
              </w:rPr>
              <w:t>.</w:t>
            </w:r>
            <w:r>
              <w:rPr>
                <w:rFonts w:hint="eastAsia" w:ascii="Times New Roman" w:hAnsi="Times New Roman" w:eastAsia="宋体" w:cs="宋体"/>
                <w:kern w:val="0"/>
                <w:sz w:val="20"/>
                <w:szCs w:val="20"/>
              </w:rPr>
              <w:t>NEWS</w:t>
            </w:r>
            <w:r>
              <w:rPr>
                <w:rFonts w:hint="eastAsia" w:ascii="宋体" w:hAnsi="宋体" w:eastAsia="宋体" w:cs="宋体"/>
                <w:kern w:val="0"/>
                <w:sz w:val="20"/>
                <w:szCs w:val="20"/>
              </w:rPr>
              <w:t>、</w:t>
            </w:r>
            <w:r>
              <w:rPr>
                <w:rFonts w:hint="eastAsia" w:ascii="Times New Roman" w:hAnsi="Times New Roman" w:eastAsia="宋体" w:cs="宋体"/>
                <w:kern w:val="0"/>
                <w:sz w:val="20"/>
                <w:szCs w:val="20"/>
              </w:rPr>
              <w:t>ARWU</w:t>
            </w:r>
            <w:r>
              <w:rPr>
                <w:rFonts w:hint="eastAsia" w:ascii="宋体" w:hAnsi="宋体" w:eastAsia="宋体" w:cs="宋体"/>
                <w:kern w:val="0"/>
                <w:sz w:val="20"/>
                <w:szCs w:val="20"/>
              </w:rPr>
              <w:t>、</w:t>
            </w:r>
            <w:r>
              <w:rPr>
                <w:rFonts w:hint="eastAsia" w:ascii="Times New Roman" w:hAnsi="Times New Roman" w:eastAsia="宋体" w:cs="宋体"/>
                <w:kern w:val="0"/>
                <w:sz w:val="20"/>
                <w:szCs w:val="20"/>
              </w:rPr>
              <w:t>CWUR</w:t>
            </w:r>
            <w:r>
              <w:rPr>
                <w:rFonts w:hint="eastAsia" w:ascii="宋体" w:hAnsi="宋体" w:eastAsia="宋体" w:cs="宋体"/>
                <w:kern w:val="0"/>
                <w:sz w:val="20"/>
                <w:szCs w:val="20"/>
              </w:rPr>
              <w:t>）前</w:t>
            </w:r>
            <w:r>
              <w:rPr>
                <w:rFonts w:hint="eastAsia" w:ascii="Times New Roman" w:hAnsi="Times New Roman" w:eastAsia="宋体" w:cs="宋体"/>
                <w:kern w:val="0"/>
                <w:sz w:val="20"/>
                <w:szCs w:val="20"/>
              </w:rPr>
              <w:t>100</w:t>
            </w:r>
            <w:r>
              <w:rPr>
                <w:rFonts w:hint="eastAsia" w:ascii="宋体" w:hAnsi="宋体" w:eastAsia="宋体" w:cs="宋体"/>
                <w:kern w:val="0"/>
                <w:sz w:val="20"/>
                <w:szCs w:val="20"/>
              </w:rPr>
              <w:t>名国（境）外高校的全日制硕士研究生及以上学历毕业生（本科须为第二轮“双一流”建设高校全日制毕业生）。</w:t>
            </w:r>
          </w:p>
        </w:tc>
        <w:tc>
          <w:tcPr>
            <w:tcW w:w="345" w:type="pct"/>
            <w:vMerge w:val="restart"/>
            <w:shd w:val="clear" w:color="auto" w:fill="auto"/>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color w:val="auto"/>
                <w:kern w:val="0"/>
                <w:sz w:val="20"/>
                <w:szCs w:val="20"/>
                <w:u w:val="none"/>
              </w:rPr>
            </w:pPr>
            <w:r>
              <w:rPr>
                <w:rFonts w:hint="default" w:ascii="Times New Roman" w:hAnsi="Times New Roman" w:eastAsia="宋体" w:cs="Times New Roman"/>
                <w:kern w:val="0"/>
                <w:sz w:val="20"/>
                <w:szCs w:val="20"/>
              </w:rPr>
              <w:t>报名网址：</w:t>
            </w:r>
            <w:r>
              <w:rPr>
                <w:rFonts w:hint="default" w:ascii="Times New Roman" w:hAnsi="Times New Roman" w:eastAsia="宋体" w:cs="Times New Roman"/>
                <w:color w:val="auto"/>
                <w:kern w:val="0"/>
                <w:sz w:val="20"/>
                <w:szCs w:val="20"/>
                <w:u w:val="none"/>
              </w:rPr>
              <w:fldChar w:fldCharType="begin"/>
            </w:r>
            <w:r>
              <w:rPr>
                <w:rFonts w:hint="default" w:ascii="Times New Roman" w:hAnsi="Times New Roman" w:eastAsia="宋体" w:cs="Times New Roman"/>
                <w:color w:val="auto"/>
                <w:kern w:val="0"/>
                <w:sz w:val="20"/>
                <w:szCs w:val="20"/>
                <w:u w:val="none"/>
              </w:rPr>
              <w:instrText xml:space="preserve"> HYPERLINK "http://www.tzjob.com" </w:instrText>
            </w:r>
            <w:r>
              <w:rPr>
                <w:rFonts w:hint="default" w:ascii="Times New Roman" w:hAnsi="Times New Roman" w:eastAsia="宋体" w:cs="Times New Roman"/>
                <w:color w:val="auto"/>
                <w:kern w:val="0"/>
                <w:sz w:val="20"/>
                <w:szCs w:val="20"/>
                <w:u w:val="none"/>
              </w:rPr>
              <w:fldChar w:fldCharType="separate"/>
            </w:r>
            <w:r>
              <w:rPr>
                <w:rStyle w:val="6"/>
                <w:rFonts w:hint="default" w:ascii="Times New Roman" w:hAnsi="Times New Roman" w:eastAsia="宋体" w:cs="Times New Roman"/>
                <w:color w:val="auto"/>
                <w:kern w:val="0"/>
                <w:sz w:val="20"/>
                <w:szCs w:val="20"/>
                <w:u w:val="none"/>
              </w:rPr>
              <w:t>www.tzjob.com</w:t>
            </w:r>
            <w:r>
              <w:rPr>
                <w:rFonts w:hint="default" w:ascii="Times New Roman" w:hAnsi="Times New Roman" w:eastAsia="宋体" w:cs="Times New Roman"/>
                <w:color w:val="auto"/>
                <w:kern w:val="0"/>
                <w:sz w:val="20"/>
                <w:szCs w:val="20"/>
                <w:u w:val="none"/>
              </w:rPr>
              <w:fldChar w:fldCharType="end"/>
            </w:r>
          </w:p>
          <w:p>
            <w:pPr>
              <w:widowControl/>
              <w:spacing w:line="240" w:lineRule="exac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电子邮箱：hlnqgb@126.com</w:t>
            </w:r>
            <w:r>
              <w:rPr>
                <w:rFonts w:hint="default" w:ascii="Times New Roman" w:hAnsi="Times New Roman" w:eastAsia="宋体" w:cs="Times New Roman"/>
                <w:kern w:val="0"/>
                <w:sz w:val="19"/>
                <w:szCs w:val="19"/>
              </w:rPr>
              <w:br w:type="textWrapping"/>
            </w:r>
            <w:r>
              <w:rPr>
                <w:rFonts w:hint="default" w:ascii="Times New Roman" w:hAnsi="Times New Roman" w:eastAsia="宋体" w:cs="Times New Roman"/>
                <w:kern w:val="0"/>
                <w:sz w:val="19"/>
                <w:szCs w:val="19"/>
              </w:rPr>
              <w:t>咨询电话：0523-86221506</w:t>
            </w:r>
          </w:p>
        </w:tc>
        <w:tc>
          <w:tcPr>
            <w:tcW w:w="183" w:type="pct"/>
            <w:vMerge w:val="restar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19"/>
                <w:szCs w:val="19"/>
              </w:rPr>
            </w:pPr>
            <w:r>
              <w:rPr>
                <w:rFonts w:hint="eastAsia" w:ascii="Times New Roman" w:hAnsi="Times New Roman" w:eastAsia="宋体" w:cs="宋体"/>
                <w:kern w:val="0"/>
                <w:sz w:val="19"/>
                <w:szCs w:val="19"/>
              </w:rPr>
              <w:t>2</w:t>
            </w:r>
          </w:p>
        </w:tc>
        <w:tc>
          <w:tcPr>
            <w:tcW w:w="267" w:type="pct"/>
            <w:vMerge w:val="restar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19"/>
                <w:szCs w:val="19"/>
              </w:rPr>
            </w:pPr>
            <w:r>
              <w:rPr>
                <w:rFonts w:hint="eastAsia" w:ascii="宋体" w:hAnsi="宋体" w:eastAsia="宋体" w:cs="宋体"/>
                <w:kern w:val="0"/>
                <w:sz w:val="19"/>
                <w:szCs w:val="19"/>
              </w:rPr>
              <w:t>综合能力测试</w:t>
            </w:r>
          </w:p>
        </w:tc>
        <w:tc>
          <w:tcPr>
            <w:tcW w:w="582" w:type="pct"/>
            <w:vMerge w:val="restart"/>
            <w:shd w:val="clear" w:color="auto" w:fill="auto"/>
            <w:tcMar>
              <w:top w:w="28" w:type="dxa"/>
              <w:left w:w="57" w:type="dxa"/>
              <w:bottom w:w="28" w:type="dxa"/>
              <w:right w:w="57" w:type="dxa"/>
            </w:tcMar>
            <w:vAlign w:val="center"/>
          </w:tcPr>
          <w:p>
            <w:pPr>
              <w:widowControl/>
              <w:spacing w:line="240" w:lineRule="exact"/>
              <w:jc w:val="both"/>
              <w:rPr>
                <w:rFonts w:ascii="宋体" w:hAnsi="宋体" w:eastAsia="宋体" w:cs="宋体"/>
                <w:kern w:val="0"/>
                <w:sz w:val="19"/>
                <w:szCs w:val="19"/>
              </w:rPr>
            </w:pPr>
            <w:r>
              <w:rPr>
                <w:rFonts w:hint="eastAsia" w:ascii="宋体" w:hAnsi="宋体" w:eastAsia="宋体" w:cs="宋体"/>
                <w:kern w:val="0"/>
                <w:sz w:val="19"/>
                <w:szCs w:val="19"/>
              </w:rPr>
              <w:t>聘用人员按照相关政策规定享受“购房券”、生活补贴等待遇。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139" w:hRule="atLeast"/>
          <w:jc w:val="center"/>
        </w:trPr>
        <w:tc>
          <w:tcPr>
            <w:tcW w:w="300"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19"/>
                <w:szCs w:val="19"/>
              </w:rPr>
            </w:pPr>
            <w:r>
              <w:rPr>
                <w:rFonts w:hint="eastAsia" w:ascii="宋体" w:hAnsi="宋体" w:eastAsia="宋体" w:cs="宋体"/>
                <w:kern w:val="0"/>
                <w:sz w:val="19"/>
                <w:szCs w:val="19"/>
              </w:rPr>
              <w:t>海陵区</w:t>
            </w:r>
          </w:p>
        </w:tc>
        <w:tc>
          <w:tcPr>
            <w:tcW w:w="191"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19"/>
                <w:szCs w:val="19"/>
              </w:rPr>
            </w:pPr>
            <w:r>
              <w:rPr>
                <w:rFonts w:hint="eastAsia" w:ascii="Times New Roman" w:hAnsi="Times New Roman" w:eastAsia="宋体" w:cs="宋体"/>
                <w:kern w:val="0"/>
                <w:sz w:val="19"/>
                <w:szCs w:val="19"/>
              </w:rPr>
              <w:t>5A</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19"/>
                <w:szCs w:val="19"/>
              </w:rPr>
            </w:pPr>
            <w:r>
              <w:rPr>
                <w:rFonts w:hint="eastAsia" w:ascii="宋体" w:hAnsi="宋体" w:eastAsia="宋体" w:cs="宋体"/>
                <w:kern w:val="0"/>
                <w:sz w:val="19"/>
                <w:szCs w:val="19"/>
              </w:rPr>
              <w:t>海陵区</w:t>
            </w:r>
          </w:p>
          <w:p>
            <w:pPr>
              <w:widowControl/>
              <w:spacing w:line="240" w:lineRule="exact"/>
              <w:jc w:val="center"/>
              <w:rPr>
                <w:rFonts w:ascii="宋体" w:hAnsi="宋体" w:eastAsia="宋体" w:cs="宋体"/>
                <w:kern w:val="0"/>
                <w:sz w:val="19"/>
                <w:szCs w:val="19"/>
              </w:rPr>
            </w:pPr>
            <w:r>
              <w:rPr>
                <w:rFonts w:hint="eastAsia" w:ascii="宋体" w:hAnsi="宋体" w:eastAsia="宋体" w:cs="宋体"/>
                <w:kern w:val="0"/>
                <w:sz w:val="19"/>
                <w:szCs w:val="19"/>
              </w:rPr>
              <w:t>干部规划发展中心</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19"/>
                <w:szCs w:val="19"/>
              </w:rPr>
            </w:pPr>
            <w:r>
              <w:rPr>
                <w:rFonts w:hint="eastAsia" w:ascii="宋体" w:hAnsi="宋体" w:eastAsia="宋体" w:cs="宋体"/>
                <w:kern w:val="0"/>
                <w:sz w:val="19"/>
                <w:szCs w:val="19"/>
              </w:rPr>
              <w:t>综合类</w:t>
            </w:r>
            <w:r>
              <w:rPr>
                <w:rFonts w:hint="eastAsia" w:ascii="宋体" w:hAnsi="宋体" w:eastAsia="宋体" w:cs="宋体"/>
                <w:kern w:val="0"/>
                <w:sz w:val="19"/>
                <w:szCs w:val="19"/>
              </w:rPr>
              <w:br w:type="textWrapping"/>
            </w:r>
            <w:r>
              <w:rPr>
                <w:rFonts w:hint="eastAsia" w:ascii="宋体" w:hAnsi="宋体" w:eastAsia="宋体" w:cs="宋体"/>
                <w:kern w:val="0"/>
                <w:sz w:val="19"/>
                <w:szCs w:val="19"/>
              </w:rPr>
              <w:t>（女生）</w:t>
            </w:r>
          </w:p>
        </w:tc>
        <w:tc>
          <w:tcPr>
            <w:tcW w:w="228"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19"/>
                <w:szCs w:val="19"/>
              </w:rPr>
            </w:pPr>
            <w:r>
              <w:rPr>
                <w:rFonts w:ascii="Times New Roman" w:hAnsi="Times New Roman" w:eastAsia="宋体" w:cs="Times New Roman"/>
                <w:kern w:val="0"/>
                <w:sz w:val="19"/>
                <w:szCs w:val="19"/>
              </w:rPr>
              <w:t>5A-2</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19"/>
                <w:szCs w:val="19"/>
              </w:rPr>
            </w:pPr>
            <w:r>
              <w:rPr>
                <w:rFonts w:hint="eastAsia" w:ascii="Times New Roman" w:hAnsi="Times New Roman" w:eastAsia="宋体" w:cs="宋体"/>
                <w:kern w:val="0"/>
                <w:sz w:val="19"/>
                <w:szCs w:val="19"/>
              </w:rPr>
              <w:t>8</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19"/>
                <w:szCs w:val="19"/>
              </w:rPr>
            </w:pPr>
            <w:r>
              <w:rPr>
                <w:rFonts w:hint="eastAsia" w:ascii="宋体" w:hAnsi="宋体" w:eastAsia="宋体" w:cs="宋体"/>
                <w:kern w:val="0"/>
                <w:sz w:val="19"/>
                <w:szCs w:val="19"/>
              </w:rPr>
              <w:t>本科</w:t>
            </w:r>
          </w:p>
          <w:p>
            <w:pPr>
              <w:widowControl/>
              <w:spacing w:line="240" w:lineRule="exact"/>
              <w:jc w:val="center"/>
              <w:rPr>
                <w:rFonts w:ascii="宋体" w:hAnsi="宋体" w:eastAsia="宋体" w:cs="宋体"/>
                <w:kern w:val="0"/>
                <w:sz w:val="19"/>
                <w:szCs w:val="19"/>
              </w:rPr>
            </w:pPr>
            <w:r>
              <w:rPr>
                <w:rFonts w:hint="eastAsia" w:ascii="宋体" w:hAnsi="宋体" w:eastAsia="宋体" w:cs="宋体"/>
                <w:kern w:val="0"/>
                <w:sz w:val="19"/>
                <w:szCs w:val="19"/>
              </w:rPr>
              <w:t>及以上</w:t>
            </w:r>
          </w:p>
        </w:tc>
        <w:tc>
          <w:tcPr>
            <w:tcW w:w="912"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19"/>
                <w:szCs w:val="19"/>
              </w:rPr>
            </w:pPr>
            <w:r>
              <w:rPr>
                <w:rFonts w:hint="eastAsia" w:ascii="宋体" w:hAnsi="宋体" w:eastAsia="宋体" w:cs="宋体"/>
                <w:kern w:val="0"/>
                <w:sz w:val="19"/>
                <w:szCs w:val="19"/>
              </w:rPr>
              <w:t>不限</w:t>
            </w:r>
          </w:p>
        </w:tc>
        <w:tc>
          <w:tcPr>
            <w:tcW w:w="846"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kern w:val="0"/>
                <w:sz w:val="19"/>
                <w:szCs w:val="19"/>
              </w:rPr>
            </w:pPr>
          </w:p>
        </w:tc>
        <w:tc>
          <w:tcPr>
            <w:tcW w:w="345" w:type="pct"/>
            <w:vMerge w:val="continue"/>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kern w:val="0"/>
                <w:sz w:val="19"/>
                <w:szCs w:val="19"/>
              </w:rPr>
            </w:pPr>
          </w:p>
        </w:tc>
        <w:tc>
          <w:tcPr>
            <w:tcW w:w="183"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kern w:val="0"/>
                <w:sz w:val="19"/>
                <w:szCs w:val="19"/>
              </w:rPr>
            </w:pPr>
          </w:p>
        </w:tc>
        <w:tc>
          <w:tcPr>
            <w:tcW w:w="267"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kern w:val="0"/>
                <w:sz w:val="19"/>
                <w:szCs w:val="19"/>
              </w:rPr>
            </w:pPr>
          </w:p>
        </w:tc>
        <w:tc>
          <w:tcPr>
            <w:tcW w:w="582"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kern w:val="0"/>
                <w:sz w:val="19"/>
                <w:szCs w:val="19"/>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077" w:hRule="atLeast"/>
          <w:jc w:val="center"/>
        </w:trPr>
        <w:tc>
          <w:tcPr>
            <w:tcW w:w="300"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姜堰区</w:t>
            </w:r>
          </w:p>
        </w:tc>
        <w:tc>
          <w:tcPr>
            <w:tcW w:w="191"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6A</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姜堰区</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青年干部培训中心</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综合类</w:t>
            </w:r>
            <w:r>
              <w:rPr>
                <w:rFonts w:ascii="Times New Roman" w:hAnsi="Times New Roman" w:eastAsia="宋体" w:cs="Times New Roman"/>
                <w:kern w:val="0"/>
                <w:sz w:val="20"/>
                <w:szCs w:val="20"/>
              </w:rPr>
              <w:br w:type="textWrapping"/>
            </w:r>
            <w:r>
              <w:rPr>
                <w:rFonts w:hint="eastAsia" w:ascii="宋体" w:hAnsi="宋体" w:eastAsia="宋体" w:cs="Times New Roman"/>
                <w:kern w:val="0"/>
                <w:sz w:val="20"/>
                <w:szCs w:val="20"/>
              </w:rPr>
              <w:t>（男生）</w:t>
            </w:r>
          </w:p>
        </w:tc>
        <w:tc>
          <w:tcPr>
            <w:tcW w:w="228"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6A-1</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Times New Roman"/>
                <w:kern w:val="0"/>
                <w:sz w:val="20"/>
                <w:szCs w:val="20"/>
              </w:rPr>
            </w:pPr>
            <w:r>
              <w:rPr>
                <w:rFonts w:hint="eastAsia" w:ascii="宋体" w:hAnsi="宋体" w:eastAsia="宋体" w:cs="Times New Roman"/>
                <w:kern w:val="0"/>
                <w:sz w:val="20"/>
                <w:szCs w:val="20"/>
              </w:rPr>
              <w:t>本科</w:t>
            </w:r>
          </w:p>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及以上</w:t>
            </w:r>
          </w:p>
        </w:tc>
        <w:tc>
          <w:tcPr>
            <w:tcW w:w="91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不限</w:t>
            </w:r>
          </w:p>
        </w:tc>
        <w:tc>
          <w:tcPr>
            <w:tcW w:w="846" w:type="pct"/>
            <w:vMerge w:val="restart"/>
            <w:shd w:val="clear" w:color="auto" w:fill="auto"/>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应具备以下条件之一：</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1.</w:t>
            </w:r>
            <w:r>
              <w:rPr>
                <w:rFonts w:hint="eastAsia" w:ascii="宋体" w:hAnsi="宋体" w:eastAsia="宋体" w:cs="宋体"/>
                <w:kern w:val="0"/>
                <w:sz w:val="20"/>
                <w:szCs w:val="20"/>
              </w:rPr>
              <w:t>第一轮“一流大学”建设高校全日制本科及以上学历毕业生</w:t>
            </w:r>
            <w:r>
              <w:rPr>
                <w:rFonts w:hint="eastAsia" w:ascii="宋体" w:hAnsi="宋体" w:eastAsia="宋体" w:cs="宋体"/>
                <w:kern w:val="0"/>
                <w:sz w:val="20"/>
                <w:szCs w:val="20"/>
                <w:lang w:eastAsia="zh-CN"/>
              </w:rPr>
              <w:t>；</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2.</w:t>
            </w:r>
            <w:r>
              <w:rPr>
                <w:rFonts w:hint="eastAsia" w:ascii="宋体" w:hAnsi="宋体" w:eastAsia="宋体" w:cs="宋体"/>
                <w:kern w:val="0"/>
                <w:sz w:val="20"/>
                <w:szCs w:val="20"/>
              </w:rPr>
              <w:t>第二轮</w:t>
            </w:r>
            <w:r>
              <w:rPr>
                <w:rFonts w:hint="eastAsia" w:ascii="Times New Roman" w:hAnsi="Times New Roman" w:eastAsia="宋体" w:cs="Times New Roman"/>
                <w:kern w:val="0"/>
                <w:sz w:val="20"/>
                <w:szCs w:val="20"/>
              </w:rPr>
              <w:t>“</w:t>
            </w:r>
            <w:r>
              <w:rPr>
                <w:rFonts w:hint="eastAsia" w:ascii="宋体" w:hAnsi="宋体" w:eastAsia="宋体" w:cs="宋体"/>
                <w:kern w:val="0"/>
                <w:sz w:val="20"/>
                <w:szCs w:val="20"/>
              </w:rPr>
              <w:t>双一流</w:t>
            </w:r>
            <w:r>
              <w:rPr>
                <w:rFonts w:hint="eastAsia" w:ascii="Times New Roman" w:hAnsi="Times New Roman" w:eastAsia="宋体" w:cs="Times New Roman"/>
                <w:kern w:val="0"/>
                <w:sz w:val="20"/>
                <w:szCs w:val="20"/>
              </w:rPr>
              <w:t>”</w:t>
            </w:r>
            <w:r>
              <w:rPr>
                <w:rFonts w:hint="eastAsia" w:ascii="宋体" w:hAnsi="宋体" w:eastAsia="宋体" w:cs="宋体"/>
                <w:kern w:val="0"/>
                <w:sz w:val="20"/>
                <w:szCs w:val="20"/>
              </w:rPr>
              <w:t>建设高校全日制硕士研究生及以上学历毕业生</w:t>
            </w:r>
            <w:r>
              <w:rPr>
                <w:rFonts w:hint="eastAsia" w:ascii="宋体" w:hAnsi="宋体" w:eastAsia="宋体" w:cs="宋体"/>
                <w:kern w:val="0"/>
                <w:sz w:val="20"/>
                <w:szCs w:val="20"/>
                <w:lang w:eastAsia="zh-CN"/>
              </w:rPr>
              <w:t>；</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3.</w:t>
            </w:r>
            <w:r>
              <w:rPr>
                <w:rFonts w:hint="eastAsia" w:ascii="宋体" w:hAnsi="宋体" w:eastAsia="宋体" w:cs="宋体"/>
                <w:kern w:val="0"/>
                <w:sz w:val="20"/>
                <w:szCs w:val="20"/>
              </w:rPr>
              <w:t>最新世界大学排名榜单（</w:t>
            </w:r>
            <w:r>
              <w:rPr>
                <w:rFonts w:ascii="Times New Roman" w:hAnsi="Times New Roman" w:eastAsia="宋体" w:cs="Times New Roman"/>
                <w:kern w:val="0"/>
                <w:sz w:val="20"/>
                <w:szCs w:val="20"/>
              </w:rPr>
              <w:t>QS</w:t>
            </w:r>
            <w:r>
              <w:rPr>
                <w:rFonts w:hint="eastAsia" w:ascii="宋体" w:hAnsi="宋体" w:eastAsia="宋体" w:cs="宋体"/>
                <w:kern w:val="0"/>
                <w:sz w:val="20"/>
                <w:szCs w:val="20"/>
              </w:rPr>
              <w:t>、</w:t>
            </w:r>
            <w:r>
              <w:rPr>
                <w:rFonts w:ascii="Times New Roman" w:hAnsi="Times New Roman" w:eastAsia="宋体" w:cs="Times New Roman"/>
                <w:kern w:val="0"/>
                <w:sz w:val="20"/>
                <w:szCs w:val="20"/>
              </w:rPr>
              <w:t>THE</w:t>
            </w:r>
            <w:r>
              <w:rPr>
                <w:rFonts w:hint="eastAsia" w:ascii="宋体" w:hAnsi="宋体" w:eastAsia="宋体" w:cs="宋体"/>
                <w:kern w:val="0"/>
                <w:sz w:val="20"/>
                <w:szCs w:val="20"/>
              </w:rPr>
              <w:t>、</w:t>
            </w:r>
            <w:r>
              <w:rPr>
                <w:rFonts w:ascii="Times New Roman" w:hAnsi="Times New Roman" w:eastAsia="宋体" w:cs="Times New Roman"/>
                <w:kern w:val="0"/>
                <w:sz w:val="20"/>
                <w:szCs w:val="20"/>
              </w:rPr>
              <w:t>U.S.NEWS</w:t>
            </w:r>
            <w:r>
              <w:rPr>
                <w:rFonts w:hint="eastAsia" w:ascii="宋体" w:hAnsi="宋体" w:eastAsia="宋体" w:cs="宋体"/>
                <w:kern w:val="0"/>
                <w:sz w:val="20"/>
                <w:szCs w:val="20"/>
              </w:rPr>
              <w:t>、</w:t>
            </w:r>
            <w:r>
              <w:rPr>
                <w:rFonts w:ascii="Times New Roman" w:hAnsi="Times New Roman" w:eastAsia="宋体" w:cs="Times New Roman"/>
                <w:kern w:val="0"/>
                <w:sz w:val="20"/>
                <w:szCs w:val="20"/>
              </w:rPr>
              <w:t>ARWU</w:t>
            </w:r>
            <w:r>
              <w:rPr>
                <w:rFonts w:hint="eastAsia" w:ascii="宋体" w:hAnsi="宋体" w:eastAsia="宋体" w:cs="宋体"/>
                <w:kern w:val="0"/>
                <w:sz w:val="20"/>
                <w:szCs w:val="20"/>
              </w:rPr>
              <w:t>、</w:t>
            </w:r>
            <w:r>
              <w:rPr>
                <w:rFonts w:ascii="Times New Roman" w:hAnsi="Times New Roman" w:eastAsia="宋体" w:cs="Times New Roman"/>
                <w:kern w:val="0"/>
                <w:sz w:val="20"/>
                <w:szCs w:val="20"/>
              </w:rPr>
              <w:t>CWUR</w:t>
            </w:r>
            <w:r>
              <w:rPr>
                <w:rFonts w:hint="eastAsia" w:ascii="宋体" w:hAnsi="宋体" w:eastAsia="宋体" w:cs="宋体"/>
                <w:kern w:val="0"/>
                <w:sz w:val="20"/>
                <w:szCs w:val="20"/>
              </w:rPr>
              <w:t>）前</w:t>
            </w:r>
            <w:r>
              <w:rPr>
                <w:rFonts w:ascii="Times New Roman" w:hAnsi="Times New Roman" w:eastAsia="宋体" w:cs="Times New Roman"/>
                <w:kern w:val="0"/>
                <w:sz w:val="20"/>
                <w:szCs w:val="20"/>
              </w:rPr>
              <w:t>100</w:t>
            </w:r>
            <w:r>
              <w:rPr>
                <w:rFonts w:hint="eastAsia" w:ascii="宋体" w:hAnsi="宋体" w:eastAsia="宋体" w:cs="宋体"/>
                <w:kern w:val="0"/>
                <w:sz w:val="20"/>
                <w:szCs w:val="20"/>
              </w:rPr>
              <w:t>名国（境）外高校的全日制硕士研究生及以上学历毕业生。</w:t>
            </w:r>
          </w:p>
        </w:tc>
        <w:tc>
          <w:tcPr>
            <w:tcW w:w="345" w:type="pct"/>
            <w:vMerge w:val="restart"/>
            <w:shd w:val="clear" w:color="auto" w:fill="auto"/>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color w:val="auto"/>
                <w:kern w:val="0"/>
                <w:sz w:val="20"/>
                <w:szCs w:val="20"/>
                <w:u w:val="none"/>
              </w:rPr>
            </w:pPr>
            <w:r>
              <w:rPr>
                <w:rFonts w:hint="default" w:ascii="Times New Roman" w:hAnsi="Times New Roman" w:eastAsia="宋体" w:cs="Times New Roman"/>
                <w:kern w:val="0"/>
                <w:sz w:val="20"/>
                <w:szCs w:val="20"/>
              </w:rPr>
              <w:br w:type="textWrapping"/>
            </w:r>
            <w:r>
              <w:rPr>
                <w:rFonts w:hint="default" w:ascii="Times New Roman" w:hAnsi="Times New Roman" w:eastAsia="宋体" w:cs="Times New Roman"/>
                <w:kern w:val="0"/>
                <w:sz w:val="20"/>
                <w:szCs w:val="20"/>
              </w:rPr>
              <w:t>报名网址：</w:t>
            </w:r>
            <w:r>
              <w:rPr>
                <w:rFonts w:hint="default" w:ascii="Times New Roman" w:hAnsi="Times New Roman" w:eastAsia="宋体" w:cs="Times New Roman"/>
                <w:color w:val="auto"/>
                <w:kern w:val="0"/>
                <w:sz w:val="20"/>
                <w:szCs w:val="20"/>
                <w:u w:val="none"/>
              </w:rPr>
              <w:fldChar w:fldCharType="begin"/>
            </w:r>
            <w:r>
              <w:rPr>
                <w:rFonts w:hint="default" w:ascii="Times New Roman" w:hAnsi="Times New Roman" w:eastAsia="宋体" w:cs="Times New Roman"/>
                <w:color w:val="auto"/>
                <w:kern w:val="0"/>
                <w:sz w:val="20"/>
                <w:szCs w:val="20"/>
                <w:u w:val="none"/>
              </w:rPr>
              <w:instrText xml:space="preserve"> HYPERLINK "http://www.tzjob.com" </w:instrText>
            </w:r>
            <w:r>
              <w:rPr>
                <w:rFonts w:hint="default" w:ascii="Times New Roman" w:hAnsi="Times New Roman" w:eastAsia="宋体" w:cs="Times New Roman"/>
                <w:color w:val="auto"/>
                <w:kern w:val="0"/>
                <w:sz w:val="20"/>
                <w:szCs w:val="20"/>
                <w:u w:val="none"/>
              </w:rPr>
              <w:fldChar w:fldCharType="separate"/>
            </w:r>
            <w:r>
              <w:rPr>
                <w:rStyle w:val="6"/>
                <w:rFonts w:hint="default" w:ascii="Times New Roman" w:hAnsi="Times New Roman" w:eastAsia="宋体" w:cs="Times New Roman"/>
                <w:color w:val="auto"/>
                <w:kern w:val="0"/>
                <w:sz w:val="20"/>
                <w:szCs w:val="20"/>
                <w:u w:val="none"/>
              </w:rPr>
              <w:t>www.tzjob.com</w:t>
            </w:r>
            <w:r>
              <w:rPr>
                <w:rFonts w:hint="default" w:ascii="Times New Roman" w:hAnsi="Times New Roman" w:eastAsia="宋体" w:cs="Times New Roman"/>
                <w:color w:val="auto"/>
                <w:kern w:val="0"/>
                <w:sz w:val="20"/>
                <w:szCs w:val="20"/>
                <w:u w:val="none"/>
              </w:rPr>
              <w:fldChar w:fldCharType="end"/>
            </w:r>
          </w:p>
          <w:p>
            <w:pPr>
              <w:widowControl/>
              <w:spacing w:line="240" w:lineRule="exact"/>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电子邮箱：jyqzzbghb@126.com</w:t>
            </w:r>
            <w:r>
              <w:rPr>
                <w:rFonts w:hint="default" w:ascii="Times New Roman" w:hAnsi="Times New Roman" w:eastAsia="宋体" w:cs="Times New Roman"/>
                <w:kern w:val="0"/>
                <w:sz w:val="20"/>
                <w:szCs w:val="20"/>
              </w:rPr>
              <w:br w:type="textWrapping"/>
            </w:r>
            <w:r>
              <w:rPr>
                <w:rFonts w:hint="default" w:ascii="Times New Roman" w:hAnsi="Times New Roman" w:eastAsia="宋体" w:cs="Times New Roman"/>
                <w:kern w:val="0"/>
                <w:sz w:val="20"/>
                <w:szCs w:val="20"/>
              </w:rPr>
              <w:t>咨询电话：0523-88869128</w:t>
            </w:r>
          </w:p>
        </w:tc>
        <w:tc>
          <w:tcPr>
            <w:tcW w:w="183" w:type="pct"/>
            <w:vMerge w:val="restar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267" w:type="pct"/>
            <w:vMerge w:val="restar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结构化面谈</w:t>
            </w:r>
            <w:r>
              <w:rPr>
                <w:rFonts w:ascii="Times New Roman" w:hAnsi="Times New Roman" w:eastAsia="宋体" w:cs="Times New Roman"/>
                <w:kern w:val="0"/>
                <w:sz w:val="20"/>
                <w:szCs w:val="20"/>
              </w:rPr>
              <w:t>+</w:t>
            </w:r>
            <w:r>
              <w:rPr>
                <w:rFonts w:hint="eastAsia" w:ascii="宋体" w:hAnsi="宋体" w:eastAsia="宋体" w:cs="Times New Roman"/>
                <w:kern w:val="0"/>
                <w:sz w:val="20"/>
                <w:szCs w:val="20"/>
              </w:rPr>
              <w:t>无领导小组讨论</w:t>
            </w:r>
          </w:p>
        </w:tc>
        <w:tc>
          <w:tcPr>
            <w:tcW w:w="582" w:type="pct"/>
            <w:vMerge w:val="restart"/>
            <w:shd w:val="clear" w:color="auto" w:fill="auto"/>
            <w:tcMar>
              <w:top w:w="28" w:type="dxa"/>
              <w:left w:w="57" w:type="dxa"/>
              <w:bottom w:w="28" w:type="dxa"/>
              <w:right w:w="57" w:type="dxa"/>
            </w:tcMar>
            <w:vAlign w:val="center"/>
          </w:tcPr>
          <w:p>
            <w:pPr>
              <w:widowControl/>
              <w:numPr>
                <w:ilvl w:val="0"/>
                <w:numId w:val="0"/>
              </w:numPr>
              <w:spacing w:line="240" w:lineRule="exact"/>
              <w:jc w:val="left"/>
              <w:rPr>
                <w:rFonts w:hint="eastAsia" w:ascii="宋体" w:hAnsi="宋体" w:eastAsia="宋体" w:cs="Times New Roman"/>
                <w:kern w:val="0"/>
                <w:sz w:val="20"/>
                <w:szCs w:val="20"/>
                <w:lang w:eastAsia="zh-CN"/>
              </w:rPr>
            </w:pPr>
            <w:r>
              <w:rPr>
                <w:rFonts w:hint="eastAsia" w:ascii="宋体" w:hAnsi="宋体" w:eastAsia="宋体" w:cs="Times New Roman"/>
                <w:kern w:val="0"/>
                <w:sz w:val="20"/>
                <w:szCs w:val="20"/>
                <w:lang w:val="en-US" w:eastAsia="zh-CN" w:bidi="ar-SA"/>
              </w:rPr>
              <w:t>1.</w:t>
            </w:r>
            <w:r>
              <w:rPr>
                <w:rFonts w:hint="eastAsia" w:ascii="宋体" w:hAnsi="宋体" w:eastAsia="宋体" w:cs="Times New Roman"/>
                <w:kern w:val="0"/>
                <w:sz w:val="20"/>
                <w:szCs w:val="20"/>
              </w:rPr>
              <w:t>可申请享受相应生活补贴待遇</w:t>
            </w:r>
            <w:r>
              <w:rPr>
                <w:rFonts w:hint="eastAsia" w:ascii="宋体" w:hAnsi="宋体" w:eastAsia="宋体" w:cs="Times New Roman"/>
                <w:kern w:val="0"/>
                <w:sz w:val="20"/>
                <w:szCs w:val="20"/>
                <w:lang w:eastAsia="zh-CN"/>
              </w:rPr>
              <w:t>；</w:t>
            </w:r>
          </w:p>
          <w:p>
            <w:pPr>
              <w:widowControl/>
              <w:numPr>
                <w:ilvl w:val="0"/>
                <w:numId w:val="0"/>
              </w:numPr>
              <w:spacing w:line="240" w:lineRule="exact"/>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r>
              <w:rPr>
                <w:rFonts w:hint="eastAsia" w:ascii="宋体" w:hAnsi="宋体" w:eastAsia="宋体" w:cs="Times New Roman"/>
                <w:kern w:val="0"/>
                <w:sz w:val="20"/>
                <w:szCs w:val="20"/>
              </w:rPr>
              <w:t>可申请入住区级人才公寓</w:t>
            </w:r>
            <w:r>
              <w:rPr>
                <w:rFonts w:ascii="Times New Roman" w:hAnsi="Times New Roman" w:eastAsia="宋体" w:cs="Times New Roman"/>
                <w:kern w:val="0"/>
                <w:sz w:val="20"/>
                <w:szCs w:val="20"/>
              </w:rPr>
              <w:t>3</w:t>
            </w:r>
            <w:r>
              <w:rPr>
                <w:rFonts w:hint="eastAsia" w:ascii="宋体" w:hAnsi="宋体" w:eastAsia="宋体" w:cs="Times New Roman"/>
                <w:kern w:val="0"/>
                <w:sz w:val="20"/>
                <w:szCs w:val="20"/>
              </w:rPr>
              <w:t>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077" w:hRule="atLeast"/>
          <w:jc w:val="center"/>
        </w:trPr>
        <w:tc>
          <w:tcPr>
            <w:tcW w:w="300"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姜堰区</w:t>
            </w:r>
          </w:p>
        </w:tc>
        <w:tc>
          <w:tcPr>
            <w:tcW w:w="191"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6A</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姜堰区</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青年干部培训中心</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综合类</w:t>
            </w:r>
            <w:r>
              <w:rPr>
                <w:rFonts w:ascii="Times New Roman" w:hAnsi="Times New Roman" w:eastAsia="宋体" w:cs="Times New Roman"/>
                <w:kern w:val="0"/>
                <w:sz w:val="20"/>
                <w:szCs w:val="20"/>
              </w:rPr>
              <w:br w:type="textWrapping"/>
            </w:r>
            <w:r>
              <w:rPr>
                <w:rFonts w:hint="eastAsia" w:ascii="宋体" w:hAnsi="宋体" w:eastAsia="宋体" w:cs="Times New Roman"/>
                <w:kern w:val="0"/>
                <w:sz w:val="20"/>
                <w:szCs w:val="20"/>
              </w:rPr>
              <w:t>（女生）</w:t>
            </w:r>
          </w:p>
        </w:tc>
        <w:tc>
          <w:tcPr>
            <w:tcW w:w="228"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6A-2</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Times New Roman"/>
                <w:kern w:val="0"/>
                <w:sz w:val="20"/>
                <w:szCs w:val="20"/>
              </w:rPr>
            </w:pPr>
            <w:r>
              <w:rPr>
                <w:rFonts w:hint="eastAsia" w:ascii="宋体" w:hAnsi="宋体" w:eastAsia="宋体" w:cs="Times New Roman"/>
                <w:kern w:val="0"/>
                <w:sz w:val="20"/>
                <w:szCs w:val="20"/>
              </w:rPr>
              <w:t>本科</w:t>
            </w:r>
          </w:p>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及以上</w:t>
            </w:r>
          </w:p>
        </w:tc>
        <w:tc>
          <w:tcPr>
            <w:tcW w:w="91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不限</w:t>
            </w:r>
          </w:p>
        </w:tc>
        <w:tc>
          <w:tcPr>
            <w:tcW w:w="846" w:type="pct"/>
            <w:vMerge w:val="continue"/>
            <w:shd w:val="clear" w:color="auto" w:fill="auto"/>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345" w:type="pct"/>
            <w:vMerge w:val="continue"/>
            <w:shd w:val="clear" w:color="auto" w:fill="auto"/>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kern w:val="0"/>
                <w:sz w:val="20"/>
                <w:szCs w:val="20"/>
              </w:rPr>
            </w:pPr>
          </w:p>
        </w:tc>
        <w:tc>
          <w:tcPr>
            <w:tcW w:w="183" w:type="pct"/>
            <w:vMerge w:val="continue"/>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267" w:type="pct"/>
            <w:vMerge w:val="continue"/>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582" w:type="pct"/>
            <w:vMerge w:val="continue"/>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077" w:hRule="atLeast"/>
          <w:jc w:val="center"/>
        </w:trPr>
        <w:tc>
          <w:tcPr>
            <w:tcW w:w="300"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姜堰区</w:t>
            </w:r>
          </w:p>
        </w:tc>
        <w:tc>
          <w:tcPr>
            <w:tcW w:w="191"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6A</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姜堰区</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青年干部培训中心</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专业</w:t>
            </w:r>
            <w:r>
              <w:rPr>
                <w:rFonts w:ascii="Times New Roman" w:hAnsi="Times New Roman" w:eastAsia="宋体" w:cs="Times New Roman"/>
                <w:kern w:val="0"/>
                <w:sz w:val="20"/>
                <w:szCs w:val="20"/>
              </w:rPr>
              <w:t>1</w:t>
            </w:r>
            <w:r>
              <w:rPr>
                <w:rFonts w:hint="eastAsia" w:ascii="宋体" w:hAnsi="宋体" w:eastAsia="宋体" w:cs="宋体"/>
                <w:kern w:val="0"/>
                <w:sz w:val="20"/>
                <w:szCs w:val="20"/>
              </w:rPr>
              <w:t>类</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(男生）</w:t>
            </w:r>
          </w:p>
        </w:tc>
        <w:tc>
          <w:tcPr>
            <w:tcW w:w="228"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6A-3</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Times New Roman"/>
                <w:kern w:val="0"/>
                <w:sz w:val="20"/>
                <w:szCs w:val="20"/>
              </w:rPr>
            </w:pPr>
            <w:r>
              <w:rPr>
                <w:rFonts w:hint="eastAsia" w:ascii="宋体" w:hAnsi="宋体" w:eastAsia="宋体" w:cs="Times New Roman"/>
                <w:kern w:val="0"/>
                <w:sz w:val="20"/>
                <w:szCs w:val="20"/>
              </w:rPr>
              <w:t>本科</w:t>
            </w:r>
          </w:p>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及以上</w:t>
            </w:r>
          </w:p>
        </w:tc>
        <w:tc>
          <w:tcPr>
            <w:tcW w:w="91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经济类、财务财会类、法律类</w:t>
            </w:r>
          </w:p>
        </w:tc>
        <w:tc>
          <w:tcPr>
            <w:tcW w:w="846" w:type="pct"/>
            <w:vMerge w:val="continue"/>
            <w:shd w:val="clear" w:color="auto" w:fill="auto"/>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345" w:type="pct"/>
            <w:vMerge w:val="continue"/>
            <w:shd w:val="clear" w:color="auto" w:fill="auto"/>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kern w:val="0"/>
                <w:sz w:val="20"/>
                <w:szCs w:val="20"/>
              </w:rPr>
            </w:pPr>
          </w:p>
        </w:tc>
        <w:tc>
          <w:tcPr>
            <w:tcW w:w="183" w:type="pct"/>
            <w:vMerge w:val="continue"/>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267" w:type="pct"/>
            <w:vMerge w:val="continue"/>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582" w:type="pct"/>
            <w:vMerge w:val="continue"/>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077" w:hRule="atLeast"/>
          <w:jc w:val="center"/>
        </w:trPr>
        <w:tc>
          <w:tcPr>
            <w:tcW w:w="300"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姜堰区</w:t>
            </w:r>
          </w:p>
        </w:tc>
        <w:tc>
          <w:tcPr>
            <w:tcW w:w="191"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6A</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姜堰区</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青年干部培训中心</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专业</w:t>
            </w:r>
            <w:r>
              <w:rPr>
                <w:rFonts w:ascii="Times New Roman" w:hAnsi="Times New Roman" w:eastAsia="宋体" w:cs="Times New Roman"/>
                <w:kern w:val="0"/>
                <w:sz w:val="20"/>
                <w:szCs w:val="20"/>
              </w:rPr>
              <w:t>1</w:t>
            </w:r>
            <w:r>
              <w:rPr>
                <w:rFonts w:hint="eastAsia" w:ascii="宋体" w:hAnsi="宋体" w:eastAsia="宋体" w:cs="宋体"/>
                <w:kern w:val="0"/>
                <w:sz w:val="20"/>
                <w:szCs w:val="20"/>
              </w:rPr>
              <w:t>类</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(女生）</w:t>
            </w:r>
          </w:p>
        </w:tc>
        <w:tc>
          <w:tcPr>
            <w:tcW w:w="228"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6A-4</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Times New Roman"/>
                <w:kern w:val="0"/>
                <w:sz w:val="20"/>
                <w:szCs w:val="20"/>
              </w:rPr>
            </w:pPr>
            <w:r>
              <w:rPr>
                <w:rFonts w:hint="eastAsia" w:ascii="宋体" w:hAnsi="宋体" w:eastAsia="宋体" w:cs="Times New Roman"/>
                <w:kern w:val="0"/>
                <w:sz w:val="20"/>
                <w:szCs w:val="20"/>
              </w:rPr>
              <w:t>本科</w:t>
            </w:r>
          </w:p>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及以上</w:t>
            </w:r>
          </w:p>
        </w:tc>
        <w:tc>
          <w:tcPr>
            <w:tcW w:w="91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经济类、财务财会类、法律类</w:t>
            </w:r>
          </w:p>
        </w:tc>
        <w:tc>
          <w:tcPr>
            <w:tcW w:w="846" w:type="pct"/>
            <w:vMerge w:val="continue"/>
            <w:shd w:val="clear" w:color="auto" w:fill="auto"/>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345" w:type="pct"/>
            <w:vMerge w:val="continue"/>
            <w:shd w:val="clear" w:color="auto" w:fill="auto"/>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kern w:val="0"/>
                <w:sz w:val="20"/>
                <w:szCs w:val="20"/>
              </w:rPr>
            </w:pPr>
          </w:p>
        </w:tc>
        <w:tc>
          <w:tcPr>
            <w:tcW w:w="183" w:type="pct"/>
            <w:vMerge w:val="continue"/>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267" w:type="pct"/>
            <w:vMerge w:val="continue"/>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582" w:type="pct"/>
            <w:vMerge w:val="continue"/>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793" w:hRule="atLeast"/>
          <w:jc w:val="center"/>
        </w:trPr>
        <w:tc>
          <w:tcPr>
            <w:tcW w:w="300"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姜堰区</w:t>
            </w:r>
          </w:p>
        </w:tc>
        <w:tc>
          <w:tcPr>
            <w:tcW w:w="191"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6A</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姜堰区</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青年干部培训中心</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专业</w:t>
            </w:r>
            <w:r>
              <w:rPr>
                <w:rFonts w:ascii="Times New Roman" w:hAnsi="Times New Roman" w:eastAsia="宋体" w:cs="Times New Roman"/>
                <w:kern w:val="0"/>
                <w:sz w:val="20"/>
                <w:szCs w:val="20"/>
              </w:rPr>
              <w:t>2</w:t>
            </w:r>
            <w:r>
              <w:rPr>
                <w:rFonts w:hint="eastAsia" w:ascii="宋体" w:hAnsi="宋体" w:eastAsia="宋体" w:cs="宋体"/>
                <w:kern w:val="0"/>
                <w:sz w:val="20"/>
                <w:szCs w:val="20"/>
              </w:rPr>
              <w:t>类</w:t>
            </w:r>
            <w:r>
              <w:rPr>
                <w:rFonts w:ascii="Times New Roman" w:hAnsi="Times New Roman" w:eastAsia="宋体" w:cs="Times New Roman"/>
                <w:kern w:val="0"/>
                <w:sz w:val="20"/>
                <w:szCs w:val="20"/>
              </w:rPr>
              <w:br w:type="textWrapping"/>
            </w:r>
            <w:r>
              <w:rPr>
                <w:rFonts w:hint="eastAsia" w:ascii="宋体" w:hAnsi="宋体" w:eastAsia="宋体" w:cs="宋体"/>
                <w:kern w:val="0"/>
                <w:sz w:val="20"/>
                <w:szCs w:val="20"/>
              </w:rPr>
              <w:t>（男生）</w:t>
            </w:r>
          </w:p>
        </w:tc>
        <w:tc>
          <w:tcPr>
            <w:tcW w:w="228"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6A-5</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Times New Roman"/>
                <w:kern w:val="0"/>
                <w:sz w:val="20"/>
                <w:szCs w:val="20"/>
              </w:rPr>
            </w:pPr>
            <w:r>
              <w:rPr>
                <w:rFonts w:hint="eastAsia" w:ascii="宋体" w:hAnsi="宋体" w:eastAsia="宋体" w:cs="Times New Roman"/>
                <w:kern w:val="0"/>
                <w:sz w:val="20"/>
                <w:szCs w:val="20"/>
              </w:rPr>
              <w:t>本科</w:t>
            </w:r>
          </w:p>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及以上</w:t>
            </w:r>
          </w:p>
        </w:tc>
        <w:tc>
          <w:tcPr>
            <w:tcW w:w="912" w:type="pct"/>
            <w:shd w:val="clear" w:color="auto" w:fill="auto"/>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药学类，医药化工类，生物医学工程、康复辅助器具技术、医学生物技术、机械制造及其自动化、精密仪器</w:t>
            </w:r>
            <w:r>
              <w:rPr>
                <w:rFonts w:hint="eastAsia" w:ascii="宋体" w:hAnsi="宋体" w:eastAsia="宋体" w:cs="宋体"/>
                <w:kern w:val="0"/>
                <w:sz w:val="20"/>
                <w:szCs w:val="20"/>
                <w:lang w:val="en-US" w:eastAsia="zh-CN"/>
              </w:rPr>
              <w:t>及机械</w:t>
            </w:r>
            <w:r>
              <w:rPr>
                <w:rFonts w:hint="eastAsia" w:ascii="宋体" w:hAnsi="宋体" w:eastAsia="宋体" w:cs="宋体"/>
                <w:kern w:val="0"/>
                <w:sz w:val="20"/>
                <w:szCs w:val="20"/>
              </w:rPr>
              <w:t>、车辆工程、流体机械及工程、石油与天然气工程、油气储运工程、光学工程、能源动力、光电信息工程、动力工程及工程热物理、材料物理与化学、材料加工工程、冶金物理化学、高分子化学与物理、通信与信息系统、电子与通信工程、电气工程、机械电子工程、电气自动化</w:t>
            </w:r>
          </w:p>
        </w:tc>
        <w:tc>
          <w:tcPr>
            <w:tcW w:w="846" w:type="pct"/>
            <w:vMerge w:val="continue"/>
            <w:shd w:val="clear" w:color="auto" w:fill="auto"/>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345" w:type="pct"/>
            <w:vMerge w:val="continue"/>
            <w:shd w:val="clear" w:color="auto" w:fill="auto"/>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kern w:val="0"/>
                <w:sz w:val="20"/>
                <w:szCs w:val="20"/>
              </w:rPr>
            </w:pPr>
          </w:p>
        </w:tc>
        <w:tc>
          <w:tcPr>
            <w:tcW w:w="183" w:type="pct"/>
            <w:vMerge w:val="continue"/>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267" w:type="pct"/>
            <w:vMerge w:val="continue"/>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582" w:type="pct"/>
            <w:vMerge w:val="continue"/>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139" w:hRule="atLeast"/>
          <w:jc w:val="center"/>
        </w:trPr>
        <w:tc>
          <w:tcPr>
            <w:tcW w:w="300"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姜堰区</w:t>
            </w:r>
          </w:p>
        </w:tc>
        <w:tc>
          <w:tcPr>
            <w:tcW w:w="191"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6A</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姜堰区</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青年干部培训中心</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专业</w:t>
            </w:r>
            <w:r>
              <w:rPr>
                <w:rFonts w:ascii="Times New Roman" w:hAnsi="Times New Roman" w:eastAsia="宋体" w:cs="Times New Roman"/>
                <w:kern w:val="0"/>
                <w:sz w:val="20"/>
                <w:szCs w:val="20"/>
              </w:rPr>
              <w:t>2</w:t>
            </w:r>
            <w:r>
              <w:rPr>
                <w:rFonts w:hint="eastAsia" w:ascii="宋体" w:hAnsi="宋体" w:eastAsia="宋体" w:cs="宋体"/>
                <w:kern w:val="0"/>
                <w:sz w:val="20"/>
                <w:szCs w:val="20"/>
              </w:rPr>
              <w:t>类</w:t>
            </w:r>
            <w:r>
              <w:rPr>
                <w:rFonts w:ascii="Times New Roman" w:hAnsi="Times New Roman" w:eastAsia="宋体" w:cs="Times New Roman"/>
                <w:kern w:val="0"/>
                <w:sz w:val="20"/>
                <w:szCs w:val="20"/>
              </w:rPr>
              <w:br w:type="textWrapping"/>
            </w:r>
            <w:r>
              <w:rPr>
                <w:rFonts w:hint="eastAsia" w:ascii="宋体" w:hAnsi="宋体" w:eastAsia="宋体" w:cs="宋体"/>
                <w:kern w:val="0"/>
                <w:sz w:val="20"/>
                <w:szCs w:val="20"/>
              </w:rPr>
              <w:t>（女生）</w:t>
            </w:r>
          </w:p>
        </w:tc>
        <w:tc>
          <w:tcPr>
            <w:tcW w:w="228"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6A-6</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Times New Roman"/>
                <w:kern w:val="0"/>
                <w:sz w:val="20"/>
                <w:szCs w:val="20"/>
              </w:rPr>
            </w:pPr>
            <w:r>
              <w:rPr>
                <w:rFonts w:hint="eastAsia" w:ascii="宋体" w:hAnsi="宋体" w:eastAsia="宋体" w:cs="Times New Roman"/>
                <w:kern w:val="0"/>
                <w:sz w:val="20"/>
                <w:szCs w:val="20"/>
              </w:rPr>
              <w:t>本科</w:t>
            </w:r>
          </w:p>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及以上</w:t>
            </w:r>
          </w:p>
        </w:tc>
        <w:tc>
          <w:tcPr>
            <w:tcW w:w="912" w:type="pct"/>
            <w:shd w:val="clear" w:color="auto" w:fill="auto"/>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药学类，医药化工类，生物医学工程、康复辅助器具技术、医学生物技术、机械制造及其自动化、精密仪器</w:t>
            </w:r>
            <w:r>
              <w:rPr>
                <w:rFonts w:hint="eastAsia" w:ascii="宋体" w:hAnsi="宋体" w:eastAsia="宋体" w:cs="宋体"/>
                <w:kern w:val="0"/>
                <w:sz w:val="20"/>
                <w:szCs w:val="20"/>
                <w:lang w:val="en-US" w:eastAsia="zh-CN"/>
              </w:rPr>
              <w:t>及机械</w:t>
            </w:r>
            <w:r>
              <w:rPr>
                <w:rFonts w:hint="eastAsia" w:ascii="宋体" w:hAnsi="宋体" w:eastAsia="宋体" w:cs="宋体"/>
                <w:kern w:val="0"/>
                <w:sz w:val="20"/>
                <w:szCs w:val="20"/>
              </w:rPr>
              <w:t>、车辆工程、流体机械及工程、石油与天然气工程、油气储运工程、光学工程、能源动力、光电信息工程、动力工程及工程热物理、材料物理与化学、材料加工工程、冶金物理化学、高分子化学与物理、通信与信息系统、电子与通信工程、电气工程、机械电子工程、电气自动化</w:t>
            </w:r>
          </w:p>
        </w:tc>
        <w:tc>
          <w:tcPr>
            <w:tcW w:w="846" w:type="pct"/>
            <w:vMerge w:val="restart"/>
            <w:shd w:val="clear" w:color="auto" w:fill="auto"/>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应具备以下条件之一：</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1.</w:t>
            </w:r>
            <w:r>
              <w:rPr>
                <w:rFonts w:hint="eastAsia" w:ascii="宋体" w:hAnsi="宋体" w:eastAsia="宋体" w:cs="宋体"/>
                <w:kern w:val="0"/>
                <w:sz w:val="20"/>
                <w:szCs w:val="20"/>
              </w:rPr>
              <w:t>第一轮“一流大学”建设高校全日制本科及以上学历毕业生</w:t>
            </w:r>
            <w:r>
              <w:rPr>
                <w:rFonts w:hint="eastAsia" w:ascii="宋体" w:hAnsi="宋体" w:eastAsia="宋体" w:cs="宋体"/>
                <w:kern w:val="0"/>
                <w:sz w:val="20"/>
                <w:szCs w:val="20"/>
                <w:lang w:eastAsia="zh-CN"/>
              </w:rPr>
              <w:t>；</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2.</w:t>
            </w:r>
            <w:r>
              <w:rPr>
                <w:rFonts w:hint="eastAsia" w:ascii="宋体" w:hAnsi="宋体" w:eastAsia="宋体" w:cs="宋体"/>
                <w:kern w:val="0"/>
                <w:sz w:val="20"/>
                <w:szCs w:val="20"/>
              </w:rPr>
              <w:t>第二轮</w:t>
            </w:r>
            <w:r>
              <w:rPr>
                <w:rFonts w:hint="eastAsia" w:ascii="Times New Roman" w:hAnsi="Times New Roman" w:eastAsia="宋体" w:cs="Times New Roman"/>
                <w:kern w:val="0"/>
                <w:sz w:val="20"/>
                <w:szCs w:val="20"/>
              </w:rPr>
              <w:t>“</w:t>
            </w:r>
            <w:r>
              <w:rPr>
                <w:rFonts w:hint="eastAsia" w:ascii="宋体" w:hAnsi="宋体" w:eastAsia="宋体" w:cs="宋体"/>
                <w:kern w:val="0"/>
                <w:sz w:val="20"/>
                <w:szCs w:val="20"/>
              </w:rPr>
              <w:t>双一流</w:t>
            </w:r>
            <w:r>
              <w:rPr>
                <w:rFonts w:hint="eastAsia" w:ascii="Times New Roman" w:hAnsi="Times New Roman" w:eastAsia="宋体" w:cs="Times New Roman"/>
                <w:kern w:val="0"/>
                <w:sz w:val="20"/>
                <w:szCs w:val="20"/>
              </w:rPr>
              <w:t>”</w:t>
            </w:r>
            <w:r>
              <w:rPr>
                <w:rFonts w:hint="eastAsia" w:ascii="宋体" w:hAnsi="宋体" w:eastAsia="宋体" w:cs="宋体"/>
                <w:kern w:val="0"/>
                <w:sz w:val="20"/>
                <w:szCs w:val="20"/>
              </w:rPr>
              <w:t>建设高校全日制硕士研究生及以上学历毕业生</w:t>
            </w:r>
            <w:r>
              <w:rPr>
                <w:rFonts w:hint="eastAsia" w:ascii="宋体" w:hAnsi="宋体" w:eastAsia="宋体" w:cs="宋体"/>
                <w:kern w:val="0"/>
                <w:sz w:val="20"/>
                <w:szCs w:val="20"/>
                <w:lang w:eastAsia="zh-CN"/>
              </w:rPr>
              <w:t>；</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3.</w:t>
            </w:r>
            <w:r>
              <w:rPr>
                <w:rFonts w:hint="eastAsia" w:ascii="宋体" w:hAnsi="宋体" w:eastAsia="宋体" w:cs="宋体"/>
                <w:kern w:val="0"/>
                <w:sz w:val="20"/>
                <w:szCs w:val="20"/>
              </w:rPr>
              <w:t>最新世界大学排名榜单（</w:t>
            </w:r>
            <w:r>
              <w:rPr>
                <w:rFonts w:ascii="Times New Roman" w:hAnsi="Times New Roman" w:eastAsia="宋体" w:cs="Times New Roman"/>
                <w:kern w:val="0"/>
                <w:sz w:val="20"/>
                <w:szCs w:val="20"/>
              </w:rPr>
              <w:t>QS</w:t>
            </w:r>
            <w:r>
              <w:rPr>
                <w:rFonts w:hint="eastAsia" w:ascii="宋体" w:hAnsi="宋体" w:eastAsia="宋体" w:cs="宋体"/>
                <w:kern w:val="0"/>
                <w:sz w:val="20"/>
                <w:szCs w:val="20"/>
              </w:rPr>
              <w:t>、</w:t>
            </w:r>
            <w:r>
              <w:rPr>
                <w:rFonts w:ascii="Times New Roman" w:hAnsi="Times New Roman" w:eastAsia="宋体" w:cs="Times New Roman"/>
                <w:kern w:val="0"/>
                <w:sz w:val="20"/>
                <w:szCs w:val="20"/>
              </w:rPr>
              <w:t>THE</w:t>
            </w:r>
            <w:r>
              <w:rPr>
                <w:rFonts w:hint="eastAsia" w:ascii="宋体" w:hAnsi="宋体" w:eastAsia="宋体" w:cs="宋体"/>
                <w:kern w:val="0"/>
                <w:sz w:val="20"/>
                <w:szCs w:val="20"/>
              </w:rPr>
              <w:t>、</w:t>
            </w:r>
            <w:r>
              <w:rPr>
                <w:rFonts w:ascii="Times New Roman" w:hAnsi="Times New Roman" w:eastAsia="宋体" w:cs="Times New Roman"/>
                <w:kern w:val="0"/>
                <w:sz w:val="20"/>
                <w:szCs w:val="20"/>
              </w:rPr>
              <w:t>U.S.NEWS</w:t>
            </w:r>
            <w:r>
              <w:rPr>
                <w:rFonts w:hint="eastAsia" w:ascii="宋体" w:hAnsi="宋体" w:eastAsia="宋体" w:cs="宋体"/>
                <w:kern w:val="0"/>
                <w:sz w:val="20"/>
                <w:szCs w:val="20"/>
              </w:rPr>
              <w:t>、</w:t>
            </w:r>
            <w:r>
              <w:rPr>
                <w:rFonts w:ascii="Times New Roman" w:hAnsi="Times New Roman" w:eastAsia="宋体" w:cs="Times New Roman"/>
                <w:kern w:val="0"/>
                <w:sz w:val="20"/>
                <w:szCs w:val="20"/>
              </w:rPr>
              <w:t>ARWU</w:t>
            </w:r>
            <w:r>
              <w:rPr>
                <w:rFonts w:hint="eastAsia" w:ascii="宋体" w:hAnsi="宋体" w:eastAsia="宋体" w:cs="宋体"/>
                <w:kern w:val="0"/>
                <w:sz w:val="20"/>
                <w:szCs w:val="20"/>
              </w:rPr>
              <w:t>、</w:t>
            </w:r>
            <w:r>
              <w:rPr>
                <w:rFonts w:ascii="Times New Roman" w:hAnsi="Times New Roman" w:eastAsia="宋体" w:cs="Times New Roman"/>
                <w:kern w:val="0"/>
                <w:sz w:val="20"/>
                <w:szCs w:val="20"/>
              </w:rPr>
              <w:t>CWUR</w:t>
            </w:r>
            <w:r>
              <w:rPr>
                <w:rFonts w:hint="eastAsia" w:ascii="宋体" w:hAnsi="宋体" w:eastAsia="宋体" w:cs="宋体"/>
                <w:kern w:val="0"/>
                <w:sz w:val="20"/>
                <w:szCs w:val="20"/>
              </w:rPr>
              <w:t>）前</w:t>
            </w:r>
            <w:r>
              <w:rPr>
                <w:rFonts w:ascii="Times New Roman" w:hAnsi="Times New Roman" w:eastAsia="宋体" w:cs="Times New Roman"/>
                <w:kern w:val="0"/>
                <w:sz w:val="20"/>
                <w:szCs w:val="20"/>
              </w:rPr>
              <w:t>100</w:t>
            </w:r>
            <w:r>
              <w:rPr>
                <w:rFonts w:hint="eastAsia" w:ascii="宋体" w:hAnsi="宋体" w:eastAsia="宋体" w:cs="宋体"/>
                <w:kern w:val="0"/>
                <w:sz w:val="20"/>
                <w:szCs w:val="20"/>
              </w:rPr>
              <w:t>名国（境）外高校的全日制硕士研究生及以上学历毕业生。</w:t>
            </w:r>
          </w:p>
        </w:tc>
        <w:tc>
          <w:tcPr>
            <w:tcW w:w="345" w:type="pct"/>
            <w:vMerge w:val="restart"/>
            <w:shd w:val="clear" w:color="auto" w:fill="auto"/>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报名网址：</w:t>
            </w:r>
            <w:r>
              <w:rPr>
                <w:rFonts w:hint="default" w:ascii="Times New Roman" w:hAnsi="Times New Roman" w:eastAsia="宋体" w:cs="Times New Roman"/>
                <w:color w:val="auto"/>
                <w:kern w:val="0"/>
                <w:sz w:val="20"/>
                <w:szCs w:val="20"/>
                <w:u w:val="none"/>
              </w:rPr>
              <w:fldChar w:fldCharType="begin"/>
            </w:r>
            <w:r>
              <w:rPr>
                <w:rFonts w:hint="default" w:ascii="Times New Roman" w:hAnsi="Times New Roman" w:eastAsia="宋体" w:cs="Times New Roman"/>
                <w:color w:val="auto"/>
                <w:kern w:val="0"/>
                <w:sz w:val="20"/>
                <w:szCs w:val="20"/>
                <w:u w:val="none"/>
              </w:rPr>
              <w:instrText xml:space="preserve"> HYPERLINK "http://www.tzjob.com" </w:instrText>
            </w:r>
            <w:r>
              <w:rPr>
                <w:rFonts w:hint="default" w:ascii="Times New Roman" w:hAnsi="Times New Roman" w:eastAsia="宋体" w:cs="Times New Roman"/>
                <w:color w:val="auto"/>
                <w:kern w:val="0"/>
                <w:sz w:val="20"/>
                <w:szCs w:val="20"/>
                <w:u w:val="none"/>
              </w:rPr>
              <w:fldChar w:fldCharType="separate"/>
            </w:r>
            <w:r>
              <w:rPr>
                <w:rStyle w:val="6"/>
                <w:rFonts w:hint="default" w:ascii="Times New Roman" w:hAnsi="Times New Roman" w:eastAsia="宋体" w:cs="Times New Roman"/>
                <w:color w:val="auto"/>
                <w:kern w:val="0"/>
                <w:sz w:val="20"/>
                <w:szCs w:val="20"/>
                <w:u w:val="none"/>
              </w:rPr>
              <w:t>www.tzjob.com</w:t>
            </w:r>
            <w:r>
              <w:rPr>
                <w:rFonts w:hint="default" w:ascii="Times New Roman" w:hAnsi="Times New Roman" w:eastAsia="宋体" w:cs="Times New Roman"/>
                <w:color w:val="auto"/>
                <w:kern w:val="0"/>
                <w:sz w:val="20"/>
                <w:szCs w:val="20"/>
                <w:u w:val="none"/>
              </w:rPr>
              <w:fldChar w:fldCharType="end"/>
            </w:r>
            <w:r>
              <w:rPr>
                <w:rFonts w:hint="default" w:ascii="Times New Roman" w:hAnsi="Times New Roman" w:eastAsia="宋体" w:cs="Times New Roman"/>
                <w:kern w:val="0"/>
                <w:sz w:val="20"/>
                <w:szCs w:val="20"/>
              </w:rPr>
              <w:br w:type="textWrapping"/>
            </w:r>
            <w:r>
              <w:rPr>
                <w:rFonts w:hint="default" w:ascii="Times New Roman" w:hAnsi="Times New Roman" w:eastAsia="宋体" w:cs="Times New Roman"/>
                <w:kern w:val="0"/>
                <w:sz w:val="20"/>
                <w:szCs w:val="20"/>
              </w:rPr>
              <w:t>电子邮箱：jyqzzbghb@126.com</w:t>
            </w:r>
            <w:r>
              <w:rPr>
                <w:rFonts w:hint="default" w:ascii="Times New Roman" w:hAnsi="Times New Roman" w:eastAsia="宋体" w:cs="Times New Roman"/>
                <w:kern w:val="0"/>
                <w:sz w:val="20"/>
                <w:szCs w:val="20"/>
              </w:rPr>
              <w:br w:type="textWrapping"/>
            </w:r>
            <w:r>
              <w:rPr>
                <w:rFonts w:hint="default" w:ascii="Times New Roman" w:hAnsi="Times New Roman" w:eastAsia="宋体" w:cs="Times New Roman"/>
                <w:kern w:val="0"/>
                <w:sz w:val="20"/>
                <w:szCs w:val="20"/>
              </w:rPr>
              <w:t>咨询电话：0523-88869128</w:t>
            </w:r>
          </w:p>
        </w:tc>
        <w:tc>
          <w:tcPr>
            <w:tcW w:w="183" w:type="pct"/>
            <w:vMerge w:val="restar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267" w:type="pct"/>
            <w:vMerge w:val="restar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结构化面谈</w:t>
            </w:r>
            <w:r>
              <w:rPr>
                <w:rFonts w:ascii="Times New Roman" w:hAnsi="Times New Roman" w:eastAsia="宋体" w:cs="Times New Roman"/>
                <w:kern w:val="0"/>
                <w:sz w:val="20"/>
                <w:szCs w:val="20"/>
              </w:rPr>
              <w:t>+</w:t>
            </w:r>
            <w:r>
              <w:rPr>
                <w:rFonts w:hint="eastAsia" w:ascii="宋体" w:hAnsi="宋体" w:eastAsia="宋体" w:cs="Times New Roman"/>
                <w:kern w:val="0"/>
                <w:sz w:val="20"/>
                <w:szCs w:val="20"/>
              </w:rPr>
              <w:t>无领导小组讨论</w:t>
            </w:r>
          </w:p>
        </w:tc>
        <w:tc>
          <w:tcPr>
            <w:tcW w:w="582" w:type="pct"/>
            <w:vMerge w:val="restart"/>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1.</w:t>
            </w:r>
            <w:r>
              <w:rPr>
                <w:rFonts w:hint="eastAsia" w:ascii="宋体" w:hAnsi="宋体" w:eastAsia="宋体" w:cs="Times New Roman"/>
                <w:kern w:val="0"/>
                <w:sz w:val="20"/>
                <w:szCs w:val="20"/>
              </w:rPr>
              <w:t>可申请享受相应生活补贴待遇</w:t>
            </w:r>
            <w:r>
              <w:rPr>
                <w:rFonts w:hint="eastAsia" w:ascii="宋体" w:hAnsi="宋体" w:eastAsia="宋体" w:cs="Times New Roman"/>
                <w:kern w:val="0"/>
                <w:sz w:val="20"/>
                <w:szCs w:val="20"/>
                <w:lang w:eastAsia="zh-CN"/>
              </w:rPr>
              <w:t>；</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2.</w:t>
            </w:r>
            <w:r>
              <w:rPr>
                <w:rFonts w:hint="eastAsia" w:ascii="宋体" w:hAnsi="宋体" w:eastAsia="宋体" w:cs="Times New Roman"/>
                <w:kern w:val="0"/>
                <w:sz w:val="20"/>
                <w:szCs w:val="20"/>
              </w:rPr>
              <w:t>可申请入住区级人才公寓</w:t>
            </w:r>
            <w:r>
              <w:rPr>
                <w:rFonts w:ascii="Times New Roman" w:hAnsi="Times New Roman" w:eastAsia="宋体" w:cs="Times New Roman"/>
                <w:kern w:val="0"/>
                <w:sz w:val="20"/>
                <w:szCs w:val="20"/>
              </w:rPr>
              <w:t>3</w:t>
            </w:r>
            <w:r>
              <w:rPr>
                <w:rFonts w:hint="eastAsia" w:ascii="宋体" w:hAnsi="宋体" w:eastAsia="宋体" w:cs="Times New Roman"/>
                <w:kern w:val="0"/>
                <w:sz w:val="20"/>
                <w:szCs w:val="20"/>
              </w:rPr>
              <w:t>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139" w:hRule="atLeast"/>
          <w:jc w:val="center"/>
        </w:trPr>
        <w:tc>
          <w:tcPr>
            <w:tcW w:w="300"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姜堰区</w:t>
            </w:r>
          </w:p>
        </w:tc>
        <w:tc>
          <w:tcPr>
            <w:tcW w:w="191"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6A</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姜堰区</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青年干部培训中心</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专业</w:t>
            </w:r>
            <w:r>
              <w:rPr>
                <w:rFonts w:ascii="Times New Roman" w:hAnsi="Times New Roman" w:eastAsia="宋体" w:cs="Times New Roman"/>
                <w:kern w:val="0"/>
                <w:sz w:val="20"/>
                <w:szCs w:val="20"/>
              </w:rPr>
              <w:t>3</w:t>
            </w:r>
            <w:r>
              <w:rPr>
                <w:rFonts w:hint="eastAsia" w:ascii="宋体" w:hAnsi="宋体" w:eastAsia="宋体" w:cs="Times New Roman"/>
                <w:kern w:val="0"/>
                <w:sz w:val="20"/>
                <w:szCs w:val="20"/>
              </w:rPr>
              <w:t>类</w:t>
            </w:r>
          </w:p>
        </w:tc>
        <w:tc>
          <w:tcPr>
            <w:tcW w:w="228"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6A-7</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Times New Roman"/>
                <w:kern w:val="0"/>
                <w:sz w:val="20"/>
                <w:szCs w:val="20"/>
              </w:rPr>
            </w:pPr>
            <w:r>
              <w:rPr>
                <w:rFonts w:hint="eastAsia" w:ascii="宋体" w:hAnsi="宋体" w:eastAsia="宋体" w:cs="Times New Roman"/>
                <w:kern w:val="0"/>
                <w:sz w:val="20"/>
                <w:szCs w:val="20"/>
              </w:rPr>
              <w:t>本科</w:t>
            </w:r>
          </w:p>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及以上</w:t>
            </w:r>
          </w:p>
        </w:tc>
        <w:tc>
          <w:tcPr>
            <w:tcW w:w="912" w:type="pct"/>
            <w:shd w:val="clear" w:color="auto" w:fill="auto"/>
            <w:tcMar>
              <w:top w:w="28" w:type="dxa"/>
              <w:left w:w="57" w:type="dxa"/>
              <w:bottom w:w="28" w:type="dxa"/>
              <w:right w:w="57" w:type="dxa"/>
            </w:tcMar>
            <w:vAlign w:val="center"/>
          </w:tcPr>
          <w:p>
            <w:pPr>
              <w:widowControl/>
              <w:spacing w:line="240" w:lineRule="exact"/>
              <w:jc w:val="both"/>
              <w:rPr>
                <w:rFonts w:ascii="宋体" w:hAnsi="宋体" w:eastAsia="宋体" w:cs="宋体"/>
                <w:kern w:val="0"/>
                <w:sz w:val="20"/>
                <w:szCs w:val="20"/>
              </w:rPr>
            </w:pPr>
            <w:r>
              <w:rPr>
                <w:rFonts w:hint="eastAsia" w:ascii="宋体" w:hAnsi="宋体" w:eastAsia="宋体" w:cs="宋体"/>
                <w:kern w:val="0"/>
                <w:sz w:val="20"/>
                <w:szCs w:val="20"/>
              </w:rPr>
              <w:t>旅游管理、旅游规划与设计、旅游管理与服务教育、会展艺术与技术、环境艺术设计、酒店管理</w:t>
            </w:r>
            <w:r>
              <w:rPr>
                <w:rFonts w:hint="eastAsia" w:ascii="宋体" w:hAnsi="宋体" w:eastAsia="宋体" w:cs="宋体"/>
                <w:kern w:val="0"/>
                <w:sz w:val="20"/>
                <w:szCs w:val="20"/>
                <w:lang w:eastAsia="zh-CN"/>
              </w:rPr>
              <w:t>、</w:t>
            </w:r>
            <w:r>
              <w:rPr>
                <w:rFonts w:hint="eastAsia" w:ascii="宋体" w:hAnsi="宋体" w:eastAsia="宋体" w:cs="宋体"/>
                <w:kern w:val="0"/>
                <w:sz w:val="20"/>
                <w:szCs w:val="20"/>
              </w:rPr>
              <w:t>会展经济与管理、风景园林、风景园林学、园林植物与观赏园艺、景观学、景观设计、景观建筑设计、风景园林规划与设计</w:t>
            </w:r>
          </w:p>
        </w:tc>
        <w:tc>
          <w:tcPr>
            <w:tcW w:w="846" w:type="pct"/>
            <w:vMerge w:val="continue"/>
            <w:shd w:val="clear" w:color="auto" w:fill="auto"/>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345" w:type="pct"/>
            <w:vMerge w:val="continue"/>
            <w:shd w:val="clear" w:color="auto" w:fill="auto"/>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kern w:val="0"/>
                <w:sz w:val="20"/>
                <w:szCs w:val="20"/>
              </w:rPr>
            </w:pPr>
          </w:p>
        </w:tc>
        <w:tc>
          <w:tcPr>
            <w:tcW w:w="183" w:type="pct"/>
            <w:vMerge w:val="continue"/>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267" w:type="pct"/>
            <w:vMerge w:val="continue"/>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582" w:type="pct"/>
            <w:vMerge w:val="continue"/>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46" w:hRule="atLeast"/>
          <w:jc w:val="center"/>
        </w:trPr>
        <w:tc>
          <w:tcPr>
            <w:tcW w:w="300"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医药高新区（高港区）</w:t>
            </w:r>
          </w:p>
        </w:tc>
        <w:tc>
          <w:tcPr>
            <w:tcW w:w="191"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7A</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医药高新区（高港区）人才发展中心</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综合类</w:t>
            </w:r>
          </w:p>
          <w:p>
            <w:pPr>
              <w:widowControl/>
              <w:spacing w:line="240" w:lineRule="exact"/>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（男生）</w:t>
            </w:r>
          </w:p>
        </w:tc>
        <w:tc>
          <w:tcPr>
            <w:tcW w:w="228"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7A-1</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本科</w:t>
            </w:r>
          </w:p>
          <w:p>
            <w:pPr>
              <w:widowControl/>
              <w:spacing w:line="240" w:lineRule="exact"/>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及以上</w:t>
            </w:r>
          </w:p>
        </w:tc>
        <w:tc>
          <w:tcPr>
            <w:tcW w:w="912"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不限</w:t>
            </w:r>
          </w:p>
        </w:tc>
        <w:tc>
          <w:tcPr>
            <w:tcW w:w="846" w:type="pct"/>
            <w:vMerge w:val="restart"/>
            <w:shd w:val="clear" w:color="auto" w:fill="auto"/>
            <w:tcMar>
              <w:top w:w="28" w:type="dxa"/>
              <w:left w:w="57" w:type="dxa"/>
              <w:bottom w:w="28" w:type="dxa"/>
              <w:right w:w="57" w:type="dxa"/>
            </w:tcMar>
            <w:vAlign w:val="center"/>
          </w:tcPr>
          <w:p>
            <w:pPr>
              <w:widowControl/>
              <w:spacing w:line="240" w:lineRule="exact"/>
              <w:jc w:val="left"/>
              <w:rPr>
                <w:rFonts w:hint="eastAsia" w:ascii="宋体" w:hAnsi="宋体" w:eastAsia="宋体" w:cs="宋体"/>
                <w:kern w:val="0"/>
                <w:sz w:val="20"/>
                <w:szCs w:val="20"/>
                <w:lang w:eastAsia="zh-CN"/>
              </w:rPr>
            </w:pPr>
            <w:r>
              <w:rPr>
                <w:rFonts w:hint="eastAsia" w:ascii="宋体" w:hAnsi="宋体" w:eastAsia="宋体" w:cs="宋体"/>
                <w:kern w:val="0"/>
                <w:sz w:val="20"/>
                <w:szCs w:val="20"/>
              </w:rPr>
              <w:t>应具备以下条件之一：</w:t>
            </w:r>
            <w:r>
              <w:rPr>
                <w:rFonts w:hint="eastAsia" w:ascii="宋体" w:hAnsi="宋体" w:eastAsia="宋体" w:cs="宋体"/>
                <w:kern w:val="0"/>
                <w:sz w:val="20"/>
                <w:szCs w:val="20"/>
              </w:rPr>
              <w:br w:type="textWrapping"/>
            </w:r>
            <w:r>
              <w:rPr>
                <w:rFonts w:hint="eastAsia" w:ascii="Times New Roman" w:hAnsi="Times New Roman" w:eastAsia="宋体" w:cs="宋体"/>
                <w:kern w:val="0"/>
                <w:sz w:val="20"/>
                <w:szCs w:val="20"/>
              </w:rPr>
              <w:t>1</w:t>
            </w:r>
            <w:r>
              <w:rPr>
                <w:rFonts w:hint="eastAsia" w:ascii="宋体" w:hAnsi="宋体" w:eastAsia="宋体" w:cs="宋体"/>
                <w:kern w:val="0"/>
                <w:sz w:val="20"/>
                <w:szCs w:val="20"/>
              </w:rPr>
              <w:t>.第一轮“一流大学”建设高校全日制本科毕业生</w:t>
            </w:r>
            <w:r>
              <w:rPr>
                <w:rFonts w:hint="eastAsia" w:ascii="宋体" w:hAnsi="宋体" w:eastAsia="宋体" w:cs="宋体"/>
                <w:kern w:val="0"/>
                <w:sz w:val="20"/>
                <w:szCs w:val="20"/>
                <w:lang w:eastAsia="zh-CN"/>
              </w:rPr>
              <w:t>；</w:t>
            </w:r>
            <w:r>
              <w:rPr>
                <w:rFonts w:hint="eastAsia" w:ascii="宋体" w:hAnsi="宋体" w:eastAsia="宋体" w:cs="宋体"/>
                <w:kern w:val="0"/>
                <w:sz w:val="20"/>
                <w:szCs w:val="20"/>
              </w:rPr>
              <w:br w:type="textWrapping"/>
            </w:r>
            <w:r>
              <w:rPr>
                <w:rFonts w:hint="eastAsia" w:ascii="Times New Roman" w:hAnsi="Times New Roman" w:eastAsia="宋体" w:cs="宋体"/>
                <w:kern w:val="0"/>
                <w:sz w:val="20"/>
                <w:szCs w:val="20"/>
              </w:rPr>
              <w:t>2</w:t>
            </w:r>
            <w:r>
              <w:rPr>
                <w:rFonts w:hint="eastAsia" w:ascii="宋体" w:hAnsi="宋体" w:eastAsia="宋体" w:cs="宋体"/>
                <w:kern w:val="0"/>
                <w:sz w:val="20"/>
                <w:szCs w:val="20"/>
              </w:rPr>
              <w:t>.第一轮“一流大学”建设高校、第二轮“双一流”建设高校全日制硕士研究生及以上学历毕业生（本科须为第二轮“双一流”建设高校全日制毕业生）</w:t>
            </w:r>
            <w:r>
              <w:rPr>
                <w:rFonts w:hint="eastAsia" w:ascii="宋体" w:hAnsi="宋体" w:eastAsia="宋体" w:cs="宋体"/>
                <w:kern w:val="0"/>
                <w:sz w:val="20"/>
                <w:szCs w:val="20"/>
                <w:lang w:eastAsia="zh-CN"/>
              </w:rPr>
              <w:t>；</w:t>
            </w:r>
          </w:p>
          <w:p>
            <w:pPr>
              <w:widowControl/>
              <w:spacing w:line="240" w:lineRule="exact"/>
              <w:jc w:val="left"/>
              <w:rPr>
                <w:rFonts w:ascii="宋体" w:hAnsi="宋体" w:eastAsia="宋体" w:cs="宋体"/>
                <w:kern w:val="0"/>
                <w:sz w:val="20"/>
                <w:szCs w:val="20"/>
              </w:rPr>
            </w:pPr>
            <w:r>
              <w:rPr>
                <w:rFonts w:hint="eastAsia" w:ascii="Times New Roman" w:hAnsi="Times New Roman" w:eastAsia="宋体" w:cs="宋体"/>
                <w:kern w:val="0"/>
                <w:sz w:val="20"/>
                <w:szCs w:val="20"/>
              </w:rPr>
              <w:t>3</w:t>
            </w:r>
            <w:r>
              <w:rPr>
                <w:rFonts w:hint="eastAsia" w:ascii="宋体" w:hAnsi="宋体" w:eastAsia="宋体" w:cs="宋体"/>
                <w:kern w:val="0"/>
                <w:sz w:val="20"/>
                <w:szCs w:val="20"/>
              </w:rPr>
              <w:t>.最新世界大学排名榜单（</w:t>
            </w:r>
            <w:r>
              <w:rPr>
                <w:rFonts w:hint="eastAsia" w:ascii="Times New Roman" w:hAnsi="Times New Roman" w:eastAsia="宋体" w:cs="宋体"/>
                <w:kern w:val="0"/>
                <w:sz w:val="20"/>
                <w:szCs w:val="20"/>
              </w:rPr>
              <w:t>QS</w:t>
            </w:r>
            <w:r>
              <w:rPr>
                <w:rFonts w:hint="eastAsia" w:ascii="宋体" w:hAnsi="宋体" w:eastAsia="宋体" w:cs="宋体"/>
                <w:kern w:val="0"/>
                <w:sz w:val="20"/>
                <w:szCs w:val="20"/>
              </w:rPr>
              <w:t>、</w:t>
            </w:r>
            <w:r>
              <w:rPr>
                <w:rFonts w:hint="eastAsia" w:ascii="Times New Roman" w:hAnsi="Times New Roman" w:eastAsia="宋体" w:cs="宋体"/>
                <w:kern w:val="0"/>
                <w:sz w:val="20"/>
                <w:szCs w:val="20"/>
              </w:rPr>
              <w:t>THE</w:t>
            </w:r>
            <w:r>
              <w:rPr>
                <w:rFonts w:hint="eastAsia" w:ascii="宋体" w:hAnsi="宋体" w:eastAsia="宋体" w:cs="宋体"/>
                <w:kern w:val="0"/>
                <w:sz w:val="20"/>
                <w:szCs w:val="20"/>
              </w:rPr>
              <w:t>、</w:t>
            </w:r>
            <w:r>
              <w:rPr>
                <w:rFonts w:hint="eastAsia" w:ascii="Times New Roman" w:hAnsi="Times New Roman" w:eastAsia="宋体" w:cs="宋体"/>
                <w:kern w:val="0"/>
                <w:sz w:val="20"/>
                <w:szCs w:val="20"/>
              </w:rPr>
              <w:t>U</w:t>
            </w:r>
            <w:r>
              <w:rPr>
                <w:rFonts w:hint="eastAsia" w:ascii="宋体" w:hAnsi="宋体" w:eastAsia="宋体" w:cs="宋体"/>
                <w:kern w:val="0"/>
                <w:sz w:val="20"/>
                <w:szCs w:val="20"/>
              </w:rPr>
              <w:t>.</w:t>
            </w:r>
            <w:r>
              <w:rPr>
                <w:rFonts w:hint="eastAsia" w:ascii="Times New Roman" w:hAnsi="Times New Roman" w:eastAsia="宋体" w:cs="宋体"/>
                <w:kern w:val="0"/>
                <w:sz w:val="20"/>
                <w:szCs w:val="20"/>
              </w:rPr>
              <w:t>S</w:t>
            </w:r>
            <w:r>
              <w:rPr>
                <w:rFonts w:hint="eastAsia" w:ascii="宋体" w:hAnsi="宋体" w:eastAsia="宋体" w:cs="宋体"/>
                <w:kern w:val="0"/>
                <w:sz w:val="20"/>
                <w:szCs w:val="20"/>
              </w:rPr>
              <w:t>.</w:t>
            </w:r>
            <w:r>
              <w:rPr>
                <w:rFonts w:hint="eastAsia" w:ascii="Times New Roman" w:hAnsi="Times New Roman" w:eastAsia="宋体" w:cs="宋体"/>
                <w:kern w:val="0"/>
                <w:sz w:val="20"/>
                <w:szCs w:val="20"/>
              </w:rPr>
              <w:t>NEWS</w:t>
            </w:r>
            <w:r>
              <w:rPr>
                <w:rFonts w:hint="eastAsia" w:ascii="宋体" w:hAnsi="宋体" w:eastAsia="宋体" w:cs="宋体"/>
                <w:kern w:val="0"/>
                <w:sz w:val="20"/>
                <w:szCs w:val="20"/>
              </w:rPr>
              <w:t>、</w:t>
            </w:r>
            <w:r>
              <w:rPr>
                <w:rFonts w:hint="eastAsia" w:ascii="Times New Roman" w:hAnsi="Times New Roman" w:eastAsia="宋体" w:cs="宋体"/>
                <w:kern w:val="0"/>
                <w:sz w:val="20"/>
                <w:szCs w:val="20"/>
              </w:rPr>
              <w:t>ARWU</w:t>
            </w:r>
            <w:r>
              <w:rPr>
                <w:rFonts w:hint="eastAsia" w:ascii="宋体" w:hAnsi="宋体" w:eastAsia="宋体" w:cs="宋体"/>
                <w:kern w:val="0"/>
                <w:sz w:val="20"/>
                <w:szCs w:val="20"/>
              </w:rPr>
              <w:t>、</w:t>
            </w:r>
            <w:r>
              <w:rPr>
                <w:rFonts w:hint="eastAsia" w:ascii="Times New Roman" w:hAnsi="Times New Roman" w:eastAsia="宋体" w:cs="宋体"/>
                <w:kern w:val="0"/>
                <w:sz w:val="20"/>
                <w:szCs w:val="20"/>
              </w:rPr>
              <w:t>CWUR</w:t>
            </w:r>
            <w:r>
              <w:rPr>
                <w:rFonts w:hint="eastAsia" w:ascii="宋体" w:hAnsi="宋体" w:eastAsia="宋体" w:cs="宋体"/>
                <w:kern w:val="0"/>
                <w:sz w:val="20"/>
                <w:szCs w:val="20"/>
              </w:rPr>
              <w:t>）前</w:t>
            </w:r>
            <w:r>
              <w:rPr>
                <w:rFonts w:hint="eastAsia" w:ascii="Times New Roman" w:hAnsi="Times New Roman" w:eastAsia="宋体" w:cs="宋体"/>
                <w:kern w:val="0"/>
                <w:sz w:val="20"/>
                <w:szCs w:val="20"/>
              </w:rPr>
              <w:t>100</w:t>
            </w:r>
            <w:r>
              <w:rPr>
                <w:rFonts w:hint="eastAsia" w:ascii="宋体" w:hAnsi="宋体" w:eastAsia="宋体" w:cs="宋体"/>
                <w:kern w:val="0"/>
                <w:sz w:val="20"/>
                <w:szCs w:val="20"/>
              </w:rPr>
              <w:t>名国（境）外高校的全日制硕士研究生及以上学历毕业生（本科须为第二轮</w:t>
            </w:r>
            <w:r>
              <w:rPr>
                <w:rFonts w:hint="eastAsia" w:ascii="Times New Roman" w:hAnsi="Times New Roman" w:eastAsia="宋体" w:cs="Times New Roman"/>
                <w:kern w:val="0"/>
                <w:sz w:val="20"/>
                <w:szCs w:val="20"/>
              </w:rPr>
              <w:t>“</w:t>
            </w:r>
            <w:r>
              <w:rPr>
                <w:rFonts w:hint="eastAsia" w:ascii="宋体" w:hAnsi="宋体" w:eastAsia="宋体" w:cs="宋体"/>
                <w:kern w:val="0"/>
                <w:sz w:val="20"/>
                <w:szCs w:val="20"/>
              </w:rPr>
              <w:t>双一流</w:t>
            </w:r>
            <w:r>
              <w:rPr>
                <w:rFonts w:hint="eastAsia" w:ascii="Times New Roman" w:hAnsi="Times New Roman" w:eastAsia="宋体" w:cs="Times New Roman"/>
                <w:kern w:val="0"/>
                <w:sz w:val="20"/>
                <w:szCs w:val="20"/>
              </w:rPr>
              <w:t>”</w:t>
            </w:r>
            <w:r>
              <w:rPr>
                <w:rFonts w:hint="eastAsia" w:ascii="宋体" w:hAnsi="宋体" w:eastAsia="宋体" w:cs="宋体"/>
                <w:kern w:val="0"/>
                <w:sz w:val="20"/>
                <w:szCs w:val="20"/>
              </w:rPr>
              <w:t>建设高校全日制毕业生）。</w:t>
            </w:r>
          </w:p>
        </w:tc>
        <w:tc>
          <w:tcPr>
            <w:tcW w:w="345" w:type="pct"/>
            <w:vMerge w:val="restart"/>
            <w:shd w:val="clear" w:color="auto" w:fill="auto"/>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报名网址：www.tzjob.com</w:t>
            </w:r>
            <w:r>
              <w:rPr>
                <w:rFonts w:hint="default" w:ascii="Times New Roman" w:hAnsi="Times New Roman" w:eastAsia="宋体" w:cs="Times New Roman"/>
                <w:kern w:val="0"/>
                <w:sz w:val="20"/>
                <w:szCs w:val="20"/>
              </w:rPr>
              <w:br w:type="textWrapping"/>
            </w:r>
            <w:r>
              <w:rPr>
                <w:rFonts w:hint="default" w:ascii="Times New Roman" w:hAnsi="Times New Roman" w:eastAsia="宋体" w:cs="Times New Roman"/>
                <w:kern w:val="0"/>
                <w:sz w:val="20"/>
                <w:szCs w:val="20"/>
              </w:rPr>
              <w:t>电子邮箱：tzgxdqzp@126.com</w:t>
            </w:r>
            <w:r>
              <w:rPr>
                <w:rFonts w:hint="default" w:ascii="Times New Roman" w:hAnsi="Times New Roman" w:eastAsia="宋体" w:cs="Times New Roman"/>
                <w:kern w:val="0"/>
                <w:sz w:val="20"/>
                <w:szCs w:val="20"/>
              </w:rPr>
              <w:br w:type="textWrapping"/>
            </w:r>
            <w:r>
              <w:rPr>
                <w:rFonts w:hint="default" w:ascii="Times New Roman" w:hAnsi="Times New Roman" w:eastAsia="宋体" w:cs="Times New Roman"/>
                <w:kern w:val="0"/>
                <w:sz w:val="20"/>
                <w:szCs w:val="20"/>
              </w:rPr>
              <w:t>咨询电话：0523-86965195</w:t>
            </w:r>
          </w:p>
        </w:tc>
        <w:tc>
          <w:tcPr>
            <w:tcW w:w="183" w:type="pct"/>
            <w:vMerge w:val="restar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Times New Roman" w:hAnsi="Times New Roman" w:eastAsia="宋体" w:cs="宋体"/>
                <w:kern w:val="0"/>
                <w:sz w:val="20"/>
                <w:szCs w:val="20"/>
              </w:rPr>
              <w:t>2</w:t>
            </w:r>
          </w:p>
        </w:tc>
        <w:tc>
          <w:tcPr>
            <w:tcW w:w="267" w:type="pct"/>
            <w:vMerge w:val="restart"/>
            <w:shd w:val="clear" w:color="auto" w:fill="auto"/>
            <w:tcMar>
              <w:top w:w="28" w:type="dxa"/>
              <w:left w:w="57" w:type="dxa"/>
              <w:bottom w:w="28" w:type="dxa"/>
              <w:right w:w="57" w:type="dxa"/>
            </w:tcMar>
            <w:vAlign w:val="center"/>
          </w:tcPr>
          <w:p>
            <w:pPr>
              <w:widowControl/>
              <w:spacing w:line="240" w:lineRule="exact"/>
              <w:rPr>
                <w:rFonts w:ascii="宋体" w:hAnsi="宋体" w:eastAsia="宋体" w:cs="宋体"/>
                <w:kern w:val="0"/>
                <w:sz w:val="20"/>
                <w:szCs w:val="20"/>
              </w:rPr>
            </w:pPr>
            <w:r>
              <w:rPr>
                <w:rFonts w:hint="eastAsia" w:ascii="宋体" w:hAnsi="宋体" w:eastAsia="宋体" w:cs="宋体"/>
                <w:kern w:val="0"/>
                <w:sz w:val="20"/>
                <w:szCs w:val="20"/>
              </w:rPr>
              <w:t>结构化面谈+无领导小组讨论</w:t>
            </w:r>
          </w:p>
        </w:tc>
        <w:tc>
          <w:tcPr>
            <w:tcW w:w="582" w:type="pct"/>
            <w:vMerge w:val="restart"/>
            <w:shd w:val="clear" w:color="auto" w:fill="auto"/>
            <w:tcMar>
              <w:top w:w="28" w:type="dxa"/>
              <w:left w:w="57" w:type="dxa"/>
              <w:bottom w:w="28" w:type="dxa"/>
              <w:right w:w="57" w:type="dxa"/>
            </w:tcMar>
            <w:vAlign w:val="center"/>
          </w:tcPr>
          <w:p>
            <w:pPr>
              <w:widowControl/>
              <w:spacing w:line="240" w:lineRule="exact"/>
              <w:jc w:val="both"/>
              <w:rPr>
                <w:rFonts w:hint="eastAsia" w:ascii="宋体" w:hAnsi="宋体" w:eastAsia="宋体" w:cs="宋体"/>
                <w:kern w:val="0"/>
                <w:sz w:val="20"/>
                <w:szCs w:val="20"/>
                <w:lang w:eastAsia="zh-CN"/>
              </w:rPr>
            </w:pPr>
            <w:r>
              <w:rPr>
                <w:rFonts w:hint="eastAsia" w:ascii="宋体" w:hAnsi="宋体" w:eastAsia="宋体" w:cs="宋体"/>
                <w:kern w:val="0"/>
                <w:sz w:val="20"/>
                <w:szCs w:val="20"/>
              </w:rPr>
              <w:t>正式聘用人员按照相关政策规定享受“购房券”、生活补贴等待遇</w:t>
            </w:r>
            <w:r>
              <w:rPr>
                <w:rFonts w:hint="eastAsia" w:ascii="宋体" w:hAnsi="宋体" w:eastAsia="宋体" w:cs="宋体"/>
                <w:kern w:val="0"/>
                <w:sz w:val="20"/>
                <w:szCs w:val="20"/>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558" w:hRule="atLeast"/>
          <w:jc w:val="center"/>
        </w:trPr>
        <w:tc>
          <w:tcPr>
            <w:tcW w:w="300"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医药高新区（高港区）</w:t>
            </w:r>
          </w:p>
        </w:tc>
        <w:tc>
          <w:tcPr>
            <w:tcW w:w="191"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7A</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医药高新区（高港区）人才发展中心</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综合类</w:t>
            </w:r>
          </w:p>
          <w:p>
            <w:pPr>
              <w:widowControl/>
              <w:spacing w:line="240" w:lineRule="exact"/>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（女生）</w:t>
            </w:r>
          </w:p>
        </w:tc>
        <w:tc>
          <w:tcPr>
            <w:tcW w:w="228" w:type="pct"/>
            <w:shd w:val="clear" w:color="auto" w:fill="auto"/>
            <w:tcMar>
              <w:top w:w="28" w:type="dxa"/>
              <w:left w:w="57" w:type="dxa"/>
              <w:bottom w:w="28" w:type="dxa"/>
              <w:right w:w="57" w:type="dxa"/>
            </w:tcMar>
            <w:vAlign w:val="center"/>
          </w:tcPr>
          <w:p>
            <w:pPr>
              <w:widowControl/>
              <w:spacing w:line="240" w:lineRule="exact"/>
              <w:jc w:val="center"/>
              <w:rPr>
                <w:rFonts w:hint="eastAsia" w:ascii="Times New Roman" w:hAnsi="Times New Roman" w:eastAsia="宋体" w:cs="Times New Roman"/>
                <w:kern w:val="0"/>
                <w:sz w:val="20"/>
                <w:szCs w:val="20"/>
                <w:lang w:eastAsia="zh-CN"/>
              </w:rPr>
            </w:pPr>
            <w:r>
              <w:rPr>
                <w:rFonts w:ascii="Times New Roman" w:hAnsi="Times New Roman" w:eastAsia="宋体" w:cs="Times New Roman"/>
                <w:kern w:val="0"/>
                <w:sz w:val="20"/>
                <w:szCs w:val="20"/>
              </w:rPr>
              <w:t>7A-</w:t>
            </w:r>
            <w:r>
              <w:rPr>
                <w:rFonts w:hint="eastAsia" w:ascii="Times New Roman" w:hAnsi="Times New Roman" w:eastAsia="宋体" w:cs="Times New Roman"/>
                <w:kern w:val="0"/>
                <w:sz w:val="20"/>
                <w:szCs w:val="20"/>
                <w:lang w:val="en-US" w:eastAsia="zh-CN"/>
              </w:rPr>
              <w:t>2</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hint="eastAsia" w:ascii="Times New Roman" w:hAnsi="Times New Roman" w:eastAsia="宋体" w:cs="宋体"/>
                <w:kern w:val="0"/>
                <w:sz w:val="20"/>
                <w:szCs w:val="20"/>
                <w:lang w:val="en-US" w:eastAsia="zh-CN"/>
              </w:rPr>
            </w:pPr>
            <w:r>
              <w:rPr>
                <w:rFonts w:hint="eastAsia" w:ascii="Times New Roman" w:hAnsi="Times New Roman" w:eastAsia="宋体" w:cs="宋体"/>
                <w:kern w:val="0"/>
                <w:sz w:val="20"/>
                <w:szCs w:val="20"/>
                <w:lang w:val="en-US" w:eastAsia="zh-CN"/>
              </w:rPr>
              <w:t>1</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本科</w:t>
            </w:r>
          </w:p>
          <w:p>
            <w:pPr>
              <w:widowControl/>
              <w:spacing w:line="240" w:lineRule="exact"/>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及以上</w:t>
            </w:r>
          </w:p>
        </w:tc>
        <w:tc>
          <w:tcPr>
            <w:tcW w:w="912"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不限</w:t>
            </w:r>
          </w:p>
        </w:tc>
        <w:tc>
          <w:tcPr>
            <w:tcW w:w="846" w:type="pct"/>
            <w:vMerge w:val="continue"/>
            <w:shd w:val="clear" w:color="auto" w:fill="auto"/>
            <w:tcMar>
              <w:top w:w="28" w:type="dxa"/>
              <w:left w:w="57" w:type="dxa"/>
              <w:bottom w:w="28" w:type="dxa"/>
              <w:right w:w="57" w:type="dxa"/>
            </w:tcMar>
            <w:vAlign w:val="center"/>
          </w:tcPr>
          <w:p>
            <w:pPr>
              <w:widowControl/>
              <w:spacing w:line="240" w:lineRule="exact"/>
              <w:jc w:val="left"/>
              <w:rPr>
                <w:rFonts w:hint="eastAsia" w:ascii="宋体" w:hAnsi="宋体" w:eastAsia="宋体" w:cs="宋体"/>
                <w:kern w:val="0"/>
                <w:sz w:val="20"/>
                <w:szCs w:val="20"/>
              </w:rPr>
            </w:pPr>
          </w:p>
        </w:tc>
        <w:tc>
          <w:tcPr>
            <w:tcW w:w="345" w:type="pct"/>
            <w:vMerge w:val="continue"/>
            <w:shd w:val="clear" w:color="auto" w:fill="auto"/>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kern w:val="0"/>
                <w:sz w:val="20"/>
                <w:szCs w:val="20"/>
              </w:rPr>
            </w:pPr>
          </w:p>
        </w:tc>
        <w:tc>
          <w:tcPr>
            <w:tcW w:w="183" w:type="pct"/>
            <w:vMerge w:val="continue"/>
            <w:shd w:val="clear" w:color="auto" w:fill="auto"/>
            <w:tcMar>
              <w:top w:w="28" w:type="dxa"/>
              <w:left w:w="57" w:type="dxa"/>
              <w:bottom w:w="28" w:type="dxa"/>
              <w:right w:w="57" w:type="dxa"/>
            </w:tcMar>
            <w:vAlign w:val="center"/>
          </w:tcPr>
          <w:p>
            <w:pPr>
              <w:widowControl/>
              <w:spacing w:line="240" w:lineRule="exact"/>
              <w:jc w:val="center"/>
              <w:rPr>
                <w:rFonts w:hint="eastAsia" w:ascii="Times New Roman" w:hAnsi="Times New Roman" w:eastAsia="宋体" w:cs="宋体"/>
                <w:kern w:val="0"/>
                <w:sz w:val="20"/>
                <w:szCs w:val="20"/>
              </w:rPr>
            </w:pPr>
          </w:p>
        </w:tc>
        <w:tc>
          <w:tcPr>
            <w:tcW w:w="267" w:type="pct"/>
            <w:vMerge w:val="continue"/>
            <w:shd w:val="clear" w:color="auto" w:fill="auto"/>
            <w:tcMar>
              <w:top w:w="28" w:type="dxa"/>
              <w:left w:w="57" w:type="dxa"/>
              <w:bottom w:w="28" w:type="dxa"/>
              <w:right w:w="57" w:type="dxa"/>
            </w:tcMar>
            <w:vAlign w:val="center"/>
          </w:tcPr>
          <w:p>
            <w:pPr>
              <w:widowControl/>
              <w:spacing w:line="240" w:lineRule="exact"/>
              <w:rPr>
                <w:rFonts w:hint="eastAsia" w:ascii="宋体" w:hAnsi="宋体" w:eastAsia="宋体" w:cs="宋体"/>
                <w:kern w:val="0"/>
                <w:sz w:val="20"/>
                <w:szCs w:val="20"/>
              </w:rPr>
            </w:pPr>
          </w:p>
        </w:tc>
        <w:tc>
          <w:tcPr>
            <w:tcW w:w="582" w:type="pct"/>
            <w:vMerge w:val="continue"/>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462" w:hRule="atLeast"/>
          <w:jc w:val="center"/>
        </w:trPr>
        <w:tc>
          <w:tcPr>
            <w:tcW w:w="300"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医药高新区（高港区）</w:t>
            </w:r>
          </w:p>
        </w:tc>
        <w:tc>
          <w:tcPr>
            <w:tcW w:w="191"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7A</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医药高新区（高港区）人才发展中心</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药学类、生物工程类、医药化工类、医学类、公共卫生类</w:t>
            </w:r>
          </w:p>
          <w:p>
            <w:pPr>
              <w:widowControl/>
              <w:spacing w:line="24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（男生）</w:t>
            </w:r>
          </w:p>
        </w:tc>
        <w:tc>
          <w:tcPr>
            <w:tcW w:w="228" w:type="pct"/>
            <w:shd w:val="clear" w:color="auto" w:fill="auto"/>
            <w:tcMar>
              <w:top w:w="28" w:type="dxa"/>
              <w:left w:w="57" w:type="dxa"/>
              <w:bottom w:w="28" w:type="dxa"/>
              <w:right w:w="57" w:type="dxa"/>
            </w:tcMar>
            <w:vAlign w:val="center"/>
          </w:tcPr>
          <w:p>
            <w:pPr>
              <w:widowControl/>
              <w:spacing w:line="240" w:lineRule="exact"/>
              <w:jc w:val="center"/>
              <w:rPr>
                <w:rFonts w:hint="eastAsia"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7A-</w:t>
            </w:r>
            <w:r>
              <w:rPr>
                <w:rFonts w:hint="eastAsia" w:ascii="Times New Roman" w:hAnsi="Times New Roman" w:eastAsia="宋体" w:cs="Times New Roman"/>
                <w:kern w:val="0"/>
                <w:sz w:val="20"/>
                <w:szCs w:val="20"/>
                <w:lang w:val="en-US" w:eastAsia="zh-CN"/>
              </w:rPr>
              <w:t>3</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lang w:val="en-US" w:eastAsia="zh-CN" w:bidi="ar-SA"/>
              </w:rPr>
            </w:pPr>
            <w:r>
              <w:rPr>
                <w:rFonts w:hint="eastAsia" w:ascii="Times New Roman" w:hAnsi="Times New Roman" w:eastAsia="宋体" w:cs="宋体"/>
                <w:kern w:val="0"/>
                <w:sz w:val="20"/>
                <w:szCs w:val="20"/>
              </w:rPr>
              <w:t>6</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本科</w:t>
            </w:r>
          </w:p>
          <w:p>
            <w:pPr>
              <w:widowControl/>
              <w:spacing w:line="24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及以上</w:t>
            </w:r>
          </w:p>
        </w:tc>
        <w:tc>
          <w:tcPr>
            <w:tcW w:w="912" w:type="pct"/>
            <w:shd w:val="clear" w:color="auto" w:fill="auto"/>
            <w:tcMar>
              <w:top w:w="28" w:type="dxa"/>
              <w:left w:w="57" w:type="dxa"/>
              <w:bottom w:w="28" w:type="dxa"/>
              <w:right w:w="57" w:type="dxa"/>
            </w:tcMar>
            <w:vAlign w:val="center"/>
          </w:tcPr>
          <w:p>
            <w:pPr>
              <w:widowControl/>
              <w:spacing w:line="240" w:lineRule="exact"/>
              <w:jc w:val="both"/>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药学类、生物工程类、医药化工类、医学类、公共卫生类</w:t>
            </w:r>
          </w:p>
        </w:tc>
        <w:tc>
          <w:tcPr>
            <w:tcW w:w="846" w:type="pct"/>
            <w:vMerge w:val="continue"/>
            <w:shd w:val="clear" w:color="auto" w:fill="auto"/>
            <w:tcMar>
              <w:top w:w="28" w:type="dxa"/>
              <w:left w:w="57" w:type="dxa"/>
              <w:bottom w:w="28" w:type="dxa"/>
              <w:right w:w="57" w:type="dxa"/>
            </w:tcMar>
            <w:vAlign w:val="center"/>
          </w:tcPr>
          <w:p>
            <w:pPr>
              <w:widowControl/>
              <w:spacing w:line="240" w:lineRule="exact"/>
              <w:jc w:val="left"/>
              <w:rPr>
                <w:rFonts w:hint="eastAsia" w:ascii="宋体" w:hAnsi="宋体" w:eastAsia="宋体" w:cs="宋体"/>
                <w:kern w:val="0"/>
                <w:sz w:val="20"/>
                <w:szCs w:val="20"/>
              </w:rPr>
            </w:pPr>
          </w:p>
        </w:tc>
        <w:tc>
          <w:tcPr>
            <w:tcW w:w="345" w:type="pct"/>
            <w:vMerge w:val="continue"/>
            <w:shd w:val="clear" w:color="auto" w:fill="auto"/>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kern w:val="0"/>
                <w:sz w:val="20"/>
                <w:szCs w:val="20"/>
              </w:rPr>
            </w:pPr>
          </w:p>
        </w:tc>
        <w:tc>
          <w:tcPr>
            <w:tcW w:w="183" w:type="pct"/>
            <w:vMerge w:val="continue"/>
            <w:shd w:val="clear" w:color="auto" w:fill="auto"/>
            <w:tcMar>
              <w:top w:w="28" w:type="dxa"/>
              <w:left w:w="57" w:type="dxa"/>
              <w:bottom w:w="28" w:type="dxa"/>
              <w:right w:w="57" w:type="dxa"/>
            </w:tcMar>
            <w:vAlign w:val="center"/>
          </w:tcPr>
          <w:p>
            <w:pPr>
              <w:widowControl/>
              <w:spacing w:line="240" w:lineRule="exact"/>
              <w:jc w:val="center"/>
              <w:rPr>
                <w:rFonts w:hint="eastAsia" w:ascii="Times New Roman" w:hAnsi="Times New Roman" w:eastAsia="宋体" w:cs="宋体"/>
                <w:kern w:val="0"/>
                <w:sz w:val="20"/>
                <w:szCs w:val="20"/>
              </w:rPr>
            </w:pPr>
          </w:p>
        </w:tc>
        <w:tc>
          <w:tcPr>
            <w:tcW w:w="267" w:type="pct"/>
            <w:vMerge w:val="continue"/>
            <w:shd w:val="clear" w:color="auto" w:fill="auto"/>
            <w:tcMar>
              <w:top w:w="28" w:type="dxa"/>
              <w:left w:w="57" w:type="dxa"/>
              <w:bottom w:w="28" w:type="dxa"/>
              <w:right w:w="57" w:type="dxa"/>
            </w:tcMar>
            <w:vAlign w:val="center"/>
          </w:tcPr>
          <w:p>
            <w:pPr>
              <w:widowControl/>
              <w:spacing w:line="240" w:lineRule="exact"/>
              <w:rPr>
                <w:rFonts w:hint="eastAsia" w:ascii="宋体" w:hAnsi="宋体" w:eastAsia="宋体" w:cs="宋体"/>
                <w:kern w:val="0"/>
                <w:sz w:val="20"/>
                <w:szCs w:val="20"/>
              </w:rPr>
            </w:pPr>
          </w:p>
        </w:tc>
        <w:tc>
          <w:tcPr>
            <w:tcW w:w="582" w:type="pct"/>
            <w:vMerge w:val="continue"/>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808" w:hRule="atLeast"/>
          <w:jc w:val="center"/>
        </w:trPr>
        <w:tc>
          <w:tcPr>
            <w:tcW w:w="300"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医药高新区（高港区）</w:t>
            </w:r>
          </w:p>
        </w:tc>
        <w:tc>
          <w:tcPr>
            <w:tcW w:w="191"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7A</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医药高新区（高港区）人才发展中心</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药学类、生物工程类、医药化工类、医学类、公共卫生类</w:t>
            </w:r>
          </w:p>
          <w:p>
            <w:pPr>
              <w:widowControl/>
              <w:spacing w:line="24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（女生）</w:t>
            </w:r>
          </w:p>
        </w:tc>
        <w:tc>
          <w:tcPr>
            <w:tcW w:w="228" w:type="pct"/>
            <w:shd w:val="clear" w:color="auto" w:fill="auto"/>
            <w:tcMar>
              <w:top w:w="28" w:type="dxa"/>
              <w:left w:w="57" w:type="dxa"/>
              <w:bottom w:w="28" w:type="dxa"/>
              <w:right w:w="57" w:type="dxa"/>
            </w:tcMar>
            <w:vAlign w:val="center"/>
          </w:tcPr>
          <w:p>
            <w:pPr>
              <w:widowControl/>
              <w:spacing w:line="240" w:lineRule="exact"/>
              <w:jc w:val="center"/>
              <w:rPr>
                <w:rFonts w:hint="eastAsia"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7A-</w:t>
            </w:r>
            <w:r>
              <w:rPr>
                <w:rFonts w:hint="eastAsia" w:ascii="Times New Roman" w:hAnsi="Times New Roman" w:eastAsia="宋体" w:cs="Times New Roman"/>
                <w:kern w:val="0"/>
                <w:sz w:val="20"/>
                <w:szCs w:val="20"/>
                <w:lang w:val="en-US" w:eastAsia="zh-CN"/>
              </w:rPr>
              <w:t>4</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lang w:val="en-US" w:eastAsia="zh-CN" w:bidi="ar-SA"/>
              </w:rPr>
            </w:pPr>
            <w:r>
              <w:rPr>
                <w:rFonts w:hint="eastAsia" w:ascii="Times New Roman" w:hAnsi="Times New Roman" w:eastAsia="宋体" w:cs="宋体"/>
                <w:kern w:val="0"/>
                <w:sz w:val="20"/>
                <w:szCs w:val="20"/>
              </w:rPr>
              <w:t>6</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本科</w:t>
            </w:r>
          </w:p>
          <w:p>
            <w:pPr>
              <w:widowControl/>
              <w:spacing w:line="24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及以上</w:t>
            </w:r>
          </w:p>
        </w:tc>
        <w:tc>
          <w:tcPr>
            <w:tcW w:w="912" w:type="pct"/>
            <w:shd w:val="clear" w:color="auto" w:fill="auto"/>
            <w:tcMar>
              <w:top w:w="28" w:type="dxa"/>
              <w:left w:w="57" w:type="dxa"/>
              <w:bottom w:w="28" w:type="dxa"/>
              <w:right w:w="57" w:type="dxa"/>
            </w:tcMar>
            <w:vAlign w:val="center"/>
          </w:tcPr>
          <w:p>
            <w:pPr>
              <w:widowControl/>
              <w:spacing w:line="240" w:lineRule="exact"/>
              <w:jc w:val="both"/>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药学类、生物工程类、医药化工类、医学类、公共卫生类</w:t>
            </w:r>
          </w:p>
        </w:tc>
        <w:tc>
          <w:tcPr>
            <w:tcW w:w="846" w:type="pct"/>
            <w:vMerge w:val="continue"/>
            <w:shd w:val="clear" w:color="auto" w:fill="auto"/>
            <w:tcMar>
              <w:top w:w="28" w:type="dxa"/>
              <w:left w:w="57" w:type="dxa"/>
              <w:bottom w:w="28" w:type="dxa"/>
              <w:right w:w="57" w:type="dxa"/>
            </w:tcMar>
            <w:vAlign w:val="center"/>
          </w:tcPr>
          <w:p>
            <w:pPr>
              <w:widowControl/>
              <w:spacing w:line="240" w:lineRule="exact"/>
              <w:jc w:val="left"/>
              <w:rPr>
                <w:rFonts w:hint="eastAsia" w:ascii="宋体" w:hAnsi="宋体" w:eastAsia="宋体" w:cs="宋体"/>
                <w:kern w:val="0"/>
                <w:sz w:val="20"/>
                <w:szCs w:val="20"/>
              </w:rPr>
            </w:pPr>
          </w:p>
        </w:tc>
        <w:tc>
          <w:tcPr>
            <w:tcW w:w="345" w:type="pct"/>
            <w:vMerge w:val="continue"/>
            <w:shd w:val="clear" w:color="auto" w:fill="auto"/>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kern w:val="0"/>
                <w:sz w:val="20"/>
                <w:szCs w:val="20"/>
              </w:rPr>
            </w:pPr>
          </w:p>
        </w:tc>
        <w:tc>
          <w:tcPr>
            <w:tcW w:w="183" w:type="pct"/>
            <w:vMerge w:val="continue"/>
            <w:shd w:val="clear" w:color="auto" w:fill="auto"/>
            <w:tcMar>
              <w:top w:w="28" w:type="dxa"/>
              <w:left w:w="57" w:type="dxa"/>
              <w:bottom w:w="28" w:type="dxa"/>
              <w:right w:w="57" w:type="dxa"/>
            </w:tcMar>
            <w:vAlign w:val="center"/>
          </w:tcPr>
          <w:p>
            <w:pPr>
              <w:widowControl/>
              <w:spacing w:line="240" w:lineRule="exact"/>
              <w:jc w:val="center"/>
              <w:rPr>
                <w:rFonts w:hint="eastAsia" w:ascii="Times New Roman" w:hAnsi="Times New Roman" w:eastAsia="宋体" w:cs="宋体"/>
                <w:kern w:val="0"/>
                <w:sz w:val="20"/>
                <w:szCs w:val="20"/>
              </w:rPr>
            </w:pPr>
          </w:p>
        </w:tc>
        <w:tc>
          <w:tcPr>
            <w:tcW w:w="267" w:type="pct"/>
            <w:vMerge w:val="continue"/>
            <w:shd w:val="clear" w:color="auto" w:fill="auto"/>
            <w:tcMar>
              <w:top w:w="28" w:type="dxa"/>
              <w:left w:w="57" w:type="dxa"/>
              <w:bottom w:w="28" w:type="dxa"/>
              <w:right w:w="57" w:type="dxa"/>
            </w:tcMar>
            <w:vAlign w:val="center"/>
          </w:tcPr>
          <w:p>
            <w:pPr>
              <w:widowControl/>
              <w:spacing w:line="240" w:lineRule="exact"/>
              <w:rPr>
                <w:rFonts w:hint="eastAsia" w:ascii="宋体" w:hAnsi="宋体" w:eastAsia="宋体" w:cs="宋体"/>
                <w:kern w:val="0"/>
                <w:sz w:val="20"/>
                <w:szCs w:val="20"/>
              </w:rPr>
            </w:pPr>
          </w:p>
        </w:tc>
        <w:tc>
          <w:tcPr>
            <w:tcW w:w="582" w:type="pct"/>
            <w:vMerge w:val="continue"/>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127" w:hRule="atLeast"/>
          <w:jc w:val="center"/>
        </w:trPr>
        <w:tc>
          <w:tcPr>
            <w:tcW w:w="300"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医药高新区（高港区）</w:t>
            </w:r>
          </w:p>
        </w:tc>
        <w:tc>
          <w:tcPr>
            <w:tcW w:w="191"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7A</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医药高新区（高港区）人才发展中心</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lang w:val="en-US" w:eastAsia="zh-CN" w:bidi="ar-SA"/>
              </w:rPr>
            </w:pPr>
            <w:r>
              <w:rPr>
                <w:rFonts w:hint="eastAsia" w:ascii="宋体" w:hAnsi="宋体" w:eastAsia="宋体" w:cs="宋体"/>
                <w:color w:val="000000"/>
                <w:kern w:val="0"/>
                <w:sz w:val="20"/>
                <w:szCs w:val="20"/>
              </w:rPr>
              <w:t>经济类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（男生）</w:t>
            </w:r>
          </w:p>
        </w:tc>
        <w:tc>
          <w:tcPr>
            <w:tcW w:w="228" w:type="pct"/>
            <w:shd w:val="clear" w:color="auto" w:fill="auto"/>
            <w:tcMar>
              <w:top w:w="28" w:type="dxa"/>
              <w:left w:w="57" w:type="dxa"/>
              <w:bottom w:w="28" w:type="dxa"/>
              <w:right w:w="57" w:type="dxa"/>
            </w:tcMar>
            <w:vAlign w:val="center"/>
          </w:tcPr>
          <w:p>
            <w:pPr>
              <w:widowControl/>
              <w:spacing w:line="240" w:lineRule="exact"/>
              <w:jc w:val="center"/>
              <w:rPr>
                <w:rFonts w:hint="eastAsia"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7A-</w:t>
            </w:r>
            <w:r>
              <w:rPr>
                <w:rFonts w:hint="eastAsia" w:ascii="Times New Roman" w:hAnsi="Times New Roman" w:eastAsia="宋体" w:cs="Times New Roman"/>
                <w:kern w:val="0"/>
                <w:sz w:val="20"/>
                <w:szCs w:val="20"/>
                <w:lang w:val="en-US" w:eastAsia="zh-CN"/>
              </w:rPr>
              <w:t>5</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hint="eastAsia" w:ascii="Times New Roman" w:hAnsi="Times New Roman" w:eastAsia="宋体" w:cs="宋体"/>
                <w:kern w:val="0"/>
                <w:sz w:val="20"/>
                <w:szCs w:val="20"/>
                <w:lang w:val="en-US" w:eastAsia="zh-CN" w:bidi="ar-SA"/>
              </w:rPr>
            </w:pPr>
            <w:r>
              <w:rPr>
                <w:rFonts w:hint="eastAsia" w:ascii="Times New Roman" w:hAnsi="Times New Roman" w:eastAsia="宋体" w:cs="Times New Roman"/>
                <w:color w:val="000000"/>
                <w:kern w:val="0"/>
                <w:sz w:val="20"/>
                <w:szCs w:val="20"/>
                <w:lang w:val="en-US" w:eastAsia="zh-CN"/>
              </w:rPr>
              <w:t>1</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本科</w:t>
            </w:r>
          </w:p>
          <w:p>
            <w:pPr>
              <w:widowControl/>
              <w:spacing w:line="24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及以上</w:t>
            </w:r>
          </w:p>
        </w:tc>
        <w:tc>
          <w:tcPr>
            <w:tcW w:w="912" w:type="pct"/>
            <w:shd w:val="clear" w:color="auto" w:fill="auto"/>
            <w:tcMar>
              <w:top w:w="28" w:type="dxa"/>
              <w:left w:w="57" w:type="dxa"/>
              <w:bottom w:w="28" w:type="dxa"/>
              <w:right w:w="57" w:type="dxa"/>
            </w:tcMar>
            <w:vAlign w:val="center"/>
          </w:tcPr>
          <w:p>
            <w:pPr>
              <w:widowControl/>
              <w:spacing w:line="240" w:lineRule="exact"/>
              <w:jc w:val="both"/>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产业经济学、金融学、经济学、投资学、财政学、应用经济学、区域经济学、商务经济学、统计学、经济统计学、应用统计学、大数据与审计</w:t>
            </w:r>
          </w:p>
        </w:tc>
        <w:tc>
          <w:tcPr>
            <w:tcW w:w="846" w:type="pct"/>
            <w:vMerge w:val="restart"/>
            <w:shd w:val="clear" w:color="auto" w:fill="auto"/>
            <w:tcMar>
              <w:top w:w="28" w:type="dxa"/>
              <w:left w:w="57" w:type="dxa"/>
              <w:bottom w:w="28" w:type="dxa"/>
              <w:right w:w="57" w:type="dxa"/>
            </w:tcMar>
            <w:vAlign w:val="center"/>
          </w:tcPr>
          <w:p>
            <w:pPr>
              <w:widowControl/>
              <w:spacing w:line="240" w:lineRule="exact"/>
              <w:jc w:val="left"/>
              <w:rPr>
                <w:rFonts w:hint="eastAsia" w:ascii="宋体" w:hAnsi="宋体" w:eastAsia="宋体" w:cs="宋体"/>
                <w:kern w:val="0"/>
                <w:sz w:val="20"/>
                <w:szCs w:val="20"/>
                <w:lang w:eastAsia="zh-CN"/>
              </w:rPr>
            </w:pPr>
            <w:r>
              <w:rPr>
                <w:rFonts w:hint="eastAsia" w:ascii="宋体" w:hAnsi="宋体" w:eastAsia="宋体" w:cs="宋体"/>
                <w:kern w:val="0"/>
                <w:sz w:val="20"/>
                <w:szCs w:val="20"/>
              </w:rPr>
              <w:t>应具备以下条件之一：</w:t>
            </w:r>
            <w:r>
              <w:rPr>
                <w:rFonts w:hint="eastAsia" w:ascii="宋体" w:hAnsi="宋体" w:eastAsia="宋体" w:cs="宋体"/>
                <w:kern w:val="0"/>
                <w:sz w:val="20"/>
                <w:szCs w:val="20"/>
              </w:rPr>
              <w:br w:type="textWrapping"/>
            </w:r>
            <w:r>
              <w:rPr>
                <w:rFonts w:hint="eastAsia" w:ascii="Times New Roman" w:hAnsi="Times New Roman" w:eastAsia="宋体" w:cs="宋体"/>
                <w:kern w:val="0"/>
                <w:sz w:val="20"/>
                <w:szCs w:val="20"/>
              </w:rPr>
              <w:t>1</w:t>
            </w:r>
            <w:r>
              <w:rPr>
                <w:rFonts w:hint="eastAsia" w:ascii="宋体" w:hAnsi="宋体" w:eastAsia="宋体" w:cs="宋体"/>
                <w:kern w:val="0"/>
                <w:sz w:val="20"/>
                <w:szCs w:val="20"/>
              </w:rPr>
              <w:t>.第一轮“一流大学”建设高校全日制本科毕业生</w:t>
            </w:r>
            <w:r>
              <w:rPr>
                <w:rFonts w:hint="eastAsia" w:ascii="宋体" w:hAnsi="宋体" w:eastAsia="宋体" w:cs="宋体"/>
                <w:kern w:val="0"/>
                <w:sz w:val="20"/>
                <w:szCs w:val="20"/>
                <w:lang w:eastAsia="zh-CN"/>
              </w:rPr>
              <w:t>；</w:t>
            </w:r>
            <w:r>
              <w:rPr>
                <w:rFonts w:hint="eastAsia" w:ascii="宋体" w:hAnsi="宋体" w:eastAsia="宋体" w:cs="宋体"/>
                <w:kern w:val="0"/>
                <w:sz w:val="20"/>
                <w:szCs w:val="20"/>
              </w:rPr>
              <w:br w:type="textWrapping"/>
            </w:r>
            <w:r>
              <w:rPr>
                <w:rFonts w:hint="eastAsia" w:ascii="Times New Roman" w:hAnsi="Times New Roman" w:eastAsia="宋体" w:cs="宋体"/>
                <w:kern w:val="0"/>
                <w:sz w:val="20"/>
                <w:szCs w:val="20"/>
              </w:rPr>
              <w:t>2</w:t>
            </w:r>
            <w:r>
              <w:rPr>
                <w:rFonts w:hint="eastAsia" w:ascii="宋体" w:hAnsi="宋体" w:eastAsia="宋体" w:cs="宋体"/>
                <w:kern w:val="0"/>
                <w:sz w:val="20"/>
                <w:szCs w:val="20"/>
              </w:rPr>
              <w:t>.第一轮“一流大学”建设高校、第二轮“双一流”建设高校全日制硕士研究生及以上学历毕业生（本科须为第二轮“双一流”建设高校全日制毕业生）</w:t>
            </w:r>
            <w:r>
              <w:rPr>
                <w:rFonts w:hint="eastAsia" w:ascii="宋体" w:hAnsi="宋体" w:eastAsia="宋体" w:cs="宋体"/>
                <w:kern w:val="0"/>
                <w:sz w:val="20"/>
                <w:szCs w:val="20"/>
                <w:lang w:eastAsia="zh-CN"/>
              </w:rPr>
              <w:t>；</w:t>
            </w:r>
          </w:p>
          <w:p>
            <w:pPr>
              <w:widowControl/>
              <w:spacing w:line="240" w:lineRule="exact"/>
              <w:jc w:val="left"/>
              <w:rPr>
                <w:rFonts w:ascii="宋体" w:hAnsi="宋体" w:eastAsia="宋体" w:cs="宋体"/>
                <w:kern w:val="0"/>
                <w:sz w:val="20"/>
                <w:szCs w:val="20"/>
              </w:rPr>
            </w:pPr>
            <w:r>
              <w:rPr>
                <w:rFonts w:hint="eastAsia" w:ascii="Times New Roman" w:hAnsi="Times New Roman" w:eastAsia="宋体" w:cs="宋体"/>
                <w:kern w:val="0"/>
                <w:sz w:val="20"/>
                <w:szCs w:val="20"/>
              </w:rPr>
              <w:t>3</w:t>
            </w:r>
            <w:r>
              <w:rPr>
                <w:rFonts w:hint="eastAsia" w:ascii="宋体" w:hAnsi="宋体" w:eastAsia="宋体" w:cs="宋体"/>
                <w:kern w:val="0"/>
                <w:sz w:val="20"/>
                <w:szCs w:val="20"/>
              </w:rPr>
              <w:t>.最新世界大学排名榜单（</w:t>
            </w:r>
            <w:r>
              <w:rPr>
                <w:rFonts w:hint="eastAsia" w:ascii="Times New Roman" w:hAnsi="Times New Roman" w:eastAsia="宋体" w:cs="宋体"/>
                <w:kern w:val="0"/>
                <w:sz w:val="20"/>
                <w:szCs w:val="20"/>
              </w:rPr>
              <w:t>QS</w:t>
            </w:r>
            <w:r>
              <w:rPr>
                <w:rFonts w:hint="eastAsia" w:ascii="宋体" w:hAnsi="宋体" w:eastAsia="宋体" w:cs="宋体"/>
                <w:kern w:val="0"/>
                <w:sz w:val="20"/>
                <w:szCs w:val="20"/>
              </w:rPr>
              <w:t>、</w:t>
            </w:r>
            <w:r>
              <w:rPr>
                <w:rFonts w:hint="eastAsia" w:ascii="Times New Roman" w:hAnsi="Times New Roman" w:eastAsia="宋体" w:cs="宋体"/>
                <w:kern w:val="0"/>
                <w:sz w:val="20"/>
                <w:szCs w:val="20"/>
              </w:rPr>
              <w:t>THE</w:t>
            </w:r>
            <w:r>
              <w:rPr>
                <w:rFonts w:hint="eastAsia" w:ascii="宋体" w:hAnsi="宋体" w:eastAsia="宋体" w:cs="宋体"/>
                <w:kern w:val="0"/>
                <w:sz w:val="20"/>
                <w:szCs w:val="20"/>
              </w:rPr>
              <w:t>、</w:t>
            </w:r>
            <w:r>
              <w:rPr>
                <w:rFonts w:hint="eastAsia" w:ascii="Times New Roman" w:hAnsi="Times New Roman" w:eastAsia="宋体" w:cs="宋体"/>
                <w:kern w:val="0"/>
                <w:sz w:val="20"/>
                <w:szCs w:val="20"/>
              </w:rPr>
              <w:t>U</w:t>
            </w:r>
            <w:r>
              <w:rPr>
                <w:rFonts w:hint="eastAsia" w:ascii="宋体" w:hAnsi="宋体" w:eastAsia="宋体" w:cs="宋体"/>
                <w:kern w:val="0"/>
                <w:sz w:val="20"/>
                <w:szCs w:val="20"/>
              </w:rPr>
              <w:t>.</w:t>
            </w:r>
            <w:r>
              <w:rPr>
                <w:rFonts w:hint="eastAsia" w:ascii="Times New Roman" w:hAnsi="Times New Roman" w:eastAsia="宋体" w:cs="宋体"/>
                <w:kern w:val="0"/>
                <w:sz w:val="20"/>
                <w:szCs w:val="20"/>
              </w:rPr>
              <w:t>S</w:t>
            </w:r>
            <w:r>
              <w:rPr>
                <w:rFonts w:hint="eastAsia" w:ascii="宋体" w:hAnsi="宋体" w:eastAsia="宋体" w:cs="宋体"/>
                <w:kern w:val="0"/>
                <w:sz w:val="20"/>
                <w:szCs w:val="20"/>
              </w:rPr>
              <w:t>.</w:t>
            </w:r>
            <w:r>
              <w:rPr>
                <w:rFonts w:hint="eastAsia" w:ascii="Times New Roman" w:hAnsi="Times New Roman" w:eastAsia="宋体" w:cs="宋体"/>
                <w:kern w:val="0"/>
                <w:sz w:val="20"/>
                <w:szCs w:val="20"/>
              </w:rPr>
              <w:t>NEWS</w:t>
            </w:r>
            <w:r>
              <w:rPr>
                <w:rFonts w:hint="eastAsia" w:ascii="宋体" w:hAnsi="宋体" w:eastAsia="宋体" w:cs="宋体"/>
                <w:kern w:val="0"/>
                <w:sz w:val="20"/>
                <w:szCs w:val="20"/>
              </w:rPr>
              <w:t>、</w:t>
            </w:r>
            <w:r>
              <w:rPr>
                <w:rFonts w:hint="eastAsia" w:ascii="Times New Roman" w:hAnsi="Times New Roman" w:eastAsia="宋体" w:cs="宋体"/>
                <w:kern w:val="0"/>
                <w:sz w:val="20"/>
                <w:szCs w:val="20"/>
              </w:rPr>
              <w:t>ARWU</w:t>
            </w:r>
            <w:r>
              <w:rPr>
                <w:rFonts w:hint="eastAsia" w:ascii="宋体" w:hAnsi="宋体" w:eastAsia="宋体" w:cs="宋体"/>
                <w:kern w:val="0"/>
                <w:sz w:val="20"/>
                <w:szCs w:val="20"/>
              </w:rPr>
              <w:t>、</w:t>
            </w:r>
            <w:r>
              <w:rPr>
                <w:rFonts w:hint="eastAsia" w:ascii="Times New Roman" w:hAnsi="Times New Roman" w:eastAsia="宋体" w:cs="宋体"/>
                <w:kern w:val="0"/>
                <w:sz w:val="20"/>
                <w:szCs w:val="20"/>
              </w:rPr>
              <w:t>CWUR</w:t>
            </w:r>
            <w:r>
              <w:rPr>
                <w:rFonts w:hint="eastAsia" w:ascii="宋体" w:hAnsi="宋体" w:eastAsia="宋体" w:cs="宋体"/>
                <w:kern w:val="0"/>
                <w:sz w:val="20"/>
                <w:szCs w:val="20"/>
              </w:rPr>
              <w:t>）前</w:t>
            </w:r>
            <w:r>
              <w:rPr>
                <w:rFonts w:hint="eastAsia" w:ascii="Times New Roman" w:hAnsi="Times New Roman" w:eastAsia="宋体" w:cs="宋体"/>
                <w:kern w:val="0"/>
                <w:sz w:val="20"/>
                <w:szCs w:val="20"/>
              </w:rPr>
              <w:t>100</w:t>
            </w:r>
            <w:r>
              <w:rPr>
                <w:rFonts w:hint="eastAsia" w:ascii="宋体" w:hAnsi="宋体" w:eastAsia="宋体" w:cs="宋体"/>
                <w:kern w:val="0"/>
                <w:sz w:val="20"/>
                <w:szCs w:val="20"/>
              </w:rPr>
              <w:t>名国（境）外高校的全日制硕士研究生及以上学历毕业生（本科须为第二轮</w:t>
            </w:r>
            <w:r>
              <w:rPr>
                <w:rFonts w:hint="eastAsia" w:ascii="Times New Roman" w:hAnsi="Times New Roman" w:eastAsia="宋体" w:cs="Times New Roman"/>
                <w:kern w:val="0"/>
                <w:sz w:val="20"/>
                <w:szCs w:val="20"/>
              </w:rPr>
              <w:t>“</w:t>
            </w:r>
            <w:r>
              <w:rPr>
                <w:rFonts w:hint="eastAsia" w:ascii="宋体" w:hAnsi="宋体" w:eastAsia="宋体" w:cs="宋体"/>
                <w:kern w:val="0"/>
                <w:sz w:val="20"/>
                <w:szCs w:val="20"/>
              </w:rPr>
              <w:t>双一流</w:t>
            </w:r>
            <w:r>
              <w:rPr>
                <w:rFonts w:hint="eastAsia" w:ascii="Times New Roman" w:hAnsi="Times New Roman" w:eastAsia="宋体" w:cs="Times New Roman"/>
                <w:kern w:val="0"/>
                <w:sz w:val="20"/>
                <w:szCs w:val="20"/>
              </w:rPr>
              <w:t>”</w:t>
            </w:r>
            <w:r>
              <w:rPr>
                <w:rFonts w:hint="eastAsia" w:ascii="宋体" w:hAnsi="宋体" w:eastAsia="宋体" w:cs="宋体"/>
                <w:kern w:val="0"/>
                <w:sz w:val="20"/>
                <w:szCs w:val="20"/>
              </w:rPr>
              <w:t>建设高校全日制毕业生）。</w:t>
            </w:r>
          </w:p>
        </w:tc>
        <w:tc>
          <w:tcPr>
            <w:tcW w:w="345" w:type="pct"/>
            <w:vMerge w:val="restart"/>
            <w:shd w:val="clear" w:color="auto" w:fill="auto"/>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报名网址：www.tzjob.com</w:t>
            </w:r>
            <w:r>
              <w:rPr>
                <w:rFonts w:hint="default" w:ascii="Times New Roman" w:hAnsi="Times New Roman" w:eastAsia="宋体" w:cs="Times New Roman"/>
                <w:kern w:val="0"/>
                <w:sz w:val="20"/>
                <w:szCs w:val="20"/>
              </w:rPr>
              <w:br w:type="textWrapping"/>
            </w:r>
            <w:r>
              <w:rPr>
                <w:rFonts w:hint="default" w:ascii="Times New Roman" w:hAnsi="Times New Roman" w:eastAsia="宋体" w:cs="Times New Roman"/>
                <w:kern w:val="0"/>
                <w:sz w:val="20"/>
                <w:szCs w:val="20"/>
              </w:rPr>
              <w:t>电子邮箱：tzgxdqzp@126.com</w:t>
            </w:r>
            <w:r>
              <w:rPr>
                <w:rFonts w:hint="default" w:ascii="Times New Roman" w:hAnsi="Times New Roman" w:eastAsia="宋体" w:cs="Times New Roman"/>
                <w:kern w:val="0"/>
                <w:sz w:val="20"/>
                <w:szCs w:val="20"/>
              </w:rPr>
              <w:br w:type="textWrapping"/>
            </w:r>
            <w:r>
              <w:rPr>
                <w:rFonts w:hint="default" w:ascii="Times New Roman" w:hAnsi="Times New Roman" w:eastAsia="宋体" w:cs="Times New Roman"/>
                <w:kern w:val="0"/>
                <w:sz w:val="20"/>
                <w:szCs w:val="20"/>
              </w:rPr>
              <w:t>咨询电话：0523-86965195</w:t>
            </w:r>
          </w:p>
        </w:tc>
        <w:tc>
          <w:tcPr>
            <w:tcW w:w="183" w:type="pct"/>
            <w:vMerge w:val="restar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Times New Roman" w:hAnsi="Times New Roman" w:eastAsia="宋体" w:cs="宋体"/>
                <w:kern w:val="0"/>
                <w:sz w:val="20"/>
                <w:szCs w:val="20"/>
              </w:rPr>
              <w:t>2</w:t>
            </w:r>
          </w:p>
        </w:tc>
        <w:tc>
          <w:tcPr>
            <w:tcW w:w="267" w:type="pct"/>
            <w:vMerge w:val="restart"/>
            <w:shd w:val="clear" w:color="auto" w:fill="auto"/>
            <w:tcMar>
              <w:top w:w="28" w:type="dxa"/>
              <w:left w:w="57" w:type="dxa"/>
              <w:bottom w:w="28" w:type="dxa"/>
              <w:right w:w="57" w:type="dxa"/>
            </w:tcMar>
            <w:vAlign w:val="center"/>
          </w:tcPr>
          <w:p>
            <w:pPr>
              <w:widowControl/>
              <w:spacing w:line="240" w:lineRule="exact"/>
              <w:rPr>
                <w:rFonts w:ascii="宋体" w:hAnsi="宋体" w:eastAsia="宋体" w:cs="宋体"/>
                <w:kern w:val="0"/>
                <w:sz w:val="20"/>
                <w:szCs w:val="20"/>
              </w:rPr>
            </w:pPr>
            <w:r>
              <w:rPr>
                <w:rFonts w:hint="eastAsia" w:ascii="宋体" w:hAnsi="宋体" w:eastAsia="宋体" w:cs="宋体"/>
                <w:kern w:val="0"/>
                <w:sz w:val="20"/>
                <w:szCs w:val="20"/>
              </w:rPr>
              <w:t>结构化面谈+无领导小组讨论</w:t>
            </w:r>
          </w:p>
        </w:tc>
        <w:tc>
          <w:tcPr>
            <w:tcW w:w="582" w:type="pct"/>
            <w:vMerge w:val="restart"/>
            <w:shd w:val="clear" w:color="auto" w:fill="auto"/>
            <w:tcMar>
              <w:top w:w="28" w:type="dxa"/>
              <w:left w:w="57" w:type="dxa"/>
              <w:bottom w:w="28" w:type="dxa"/>
              <w:right w:w="57" w:type="dxa"/>
            </w:tcMar>
            <w:vAlign w:val="center"/>
          </w:tcPr>
          <w:p>
            <w:pPr>
              <w:widowControl/>
              <w:spacing w:line="240" w:lineRule="exact"/>
              <w:jc w:val="both"/>
              <w:rPr>
                <w:rFonts w:hint="eastAsia" w:ascii="宋体" w:hAnsi="宋体" w:eastAsia="宋体" w:cs="宋体"/>
                <w:kern w:val="0"/>
                <w:sz w:val="20"/>
                <w:szCs w:val="20"/>
                <w:lang w:eastAsia="zh-CN"/>
              </w:rPr>
            </w:pPr>
            <w:r>
              <w:rPr>
                <w:rFonts w:hint="eastAsia" w:ascii="宋体" w:hAnsi="宋体" w:eastAsia="宋体" w:cs="宋体"/>
                <w:kern w:val="0"/>
                <w:sz w:val="20"/>
                <w:szCs w:val="20"/>
              </w:rPr>
              <w:t>正式聘用人员按照相关政策规定享受“购房券”、生活补贴等待遇</w:t>
            </w:r>
            <w:r>
              <w:rPr>
                <w:rFonts w:hint="eastAsia" w:ascii="宋体" w:hAnsi="宋体" w:eastAsia="宋体" w:cs="宋体"/>
                <w:kern w:val="0"/>
                <w:sz w:val="20"/>
                <w:szCs w:val="20"/>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127" w:hRule="atLeast"/>
          <w:jc w:val="center"/>
        </w:trPr>
        <w:tc>
          <w:tcPr>
            <w:tcW w:w="300"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医药高新区（高港区）</w:t>
            </w:r>
          </w:p>
        </w:tc>
        <w:tc>
          <w:tcPr>
            <w:tcW w:w="191"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7A</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医药高新区（高港区）人才发展中心</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lang w:val="en-US" w:eastAsia="zh-CN" w:bidi="ar-SA"/>
              </w:rPr>
            </w:pPr>
            <w:r>
              <w:rPr>
                <w:rFonts w:hint="eastAsia" w:ascii="宋体" w:hAnsi="宋体" w:eastAsia="宋体" w:cs="宋体"/>
                <w:color w:val="000000"/>
                <w:kern w:val="0"/>
                <w:sz w:val="20"/>
                <w:szCs w:val="20"/>
              </w:rPr>
              <w:t>经济类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（女生）</w:t>
            </w:r>
          </w:p>
        </w:tc>
        <w:tc>
          <w:tcPr>
            <w:tcW w:w="228" w:type="pct"/>
            <w:shd w:val="clear" w:color="auto" w:fill="auto"/>
            <w:tcMar>
              <w:top w:w="28" w:type="dxa"/>
              <w:left w:w="57" w:type="dxa"/>
              <w:bottom w:w="28" w:type="dxa"/>
              <w:right w:w="57" w:type="dxa"/>
            </w:tcMar>
            <w:vAlign w:val="center"/>
          </w:tcPr>
          <w:p>
            <w:pPr>
              <w:widowControl/>
              <w:spacing w:line="240" w:lineRule="exact"/>
              <w:jc w:val="center"/>
              <w:rPr>
                <w:rFonts w:hint="eastAsia"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7A-</w:t>
            </w:r>
            <w:r>
              <w:rPr>
                <w:rFonts w:hint="eastAsia" w:ascii="Times New Roman" w:hAnsi="Times New Roman" w:eastAsia="宋体" w:cs="Times New Roman"/>
                <w:kern w:val="0"/>
                <w:sz w:val="20"/>
                <w:szCs w:val="20"/>
                <w:lang w:val="en-US" w:eastAsia="zh-CN"/>
              </w:rPr>
              <w:t>6</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hint="eastAsia" w:ascii="Times New Roman" w:hAnsi="Times New Roman" w:eastAsia="宋体" w:cs="Times New Roman"/>
                <w:color w:val="000000"/>
                <w:kern w:val="0"/>
                <w:sz w:val="20"/>
                <w:szCs w:val="20"/>
                <w:lang w:val="en-US" w:eastAsia="zh-CN" w:bidi="ar-SA"/>
              </w:rPr>
            </w:pPr>
            <w:r>
              <w:rPr>
                <w:rFonts w:hint="eastAsia" w:ascii="Times New Roman" w:hAnsi="Times New Roman" w:eastAsia="宋体" w:cs="Times New Roman"/>
                <w:color w:val="000000"/>
                <w:kern w:val="0"/>
                <w:sz w:val="20"/>
                <w:szCs w:val="20"/>
                <w:lang w:val="en-US" w:eastAsia="zh-CN"/>
              </w:rPr>
              <w:t>1</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本科</w:t>
            </w:r>
          </w:p>
          <w:p>
            <w:pPr>
              <w:widowControl/>
              <w:spacing w:line="24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及以上</w:t>
            </w:r>
          </w:p>
        </w:tc>
        <w:tc>
          <w:tcPr>
            <w:tcW w:w="912" w:type="pct"/>
            <w:shd w:val="clear" w:color="auto" w:fill="auto"/>
            <w:tcMar>
              <w:top w:w="28" w:type="dxa"/>
              <w:left w:w="57" w:type="dxa"/>
              <w:bottom w:w="28" w:type="dxa"/>
              <w:right w:w="57" w:type="dxa"/>
            </w:tcMar>
            <w:vAlign w:val="center"/>
          </w:tcPr>
          <w:p>
            <w:pPr>
              <w:widowControl/>
              <w:spacing w:line="240" w:lineRule="exact"/>
              <w:jc w:val="both"/>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产业经济学、金融学、经济学、投资学、财政学、应用经济学、区域经济学、商务经济学、统计学、经济统计学、应用统计学、大数据与审计</w:t>
            </w:r>
          </w:p>
        </w:tc>
        <w:tc>
          <w:tcPr>
            <w:tcW w:w="846" w:type="pct"/>
            <w:vMerge w:val="continue"/>
            <w:shd w:val="clear" w:color="auto" w:fill="auto"/>
            <w:tcMar>
              <w:top w:w="28" w:type="dxa"/>
              <w:left w:w="57" w:type="dxa"/>
              <w:bottom w:w="28" w:type="dxa"/>
              <w:right w:w="57" w:type="dxa"/>
            </w:tcMar>
            <w:vAlign w:val="center"/>
          </w:tcPr>
          <w:p>
            <w:pPr>
              <w:widowControl/>
              <w:spacing w:line="240" w:lineRule="exact"/>
              <w:jc w:val="left"/>
              <w:rPr>
                <w:rFonts w:hint="eastAsia" w:ascii="宋体" w:hAnsi="宋体" w:eastAsia="宋体" w:cs="宋体"/>
                <w:kern w:val="0"/>
                <w:sz w:val="20"/>
                <w:szCs w:val="20"/>
              </w:rPr>
            </w:pPr>
          </w:p>
        </w:tc>
        <w:tc>
          <w:tcPr>
            <w:tcW w:w="345" w:type="pct"/>
            <w:vMerge w:val="continue"/>
            <w:shd w:val="clear" w:color="auto" w:fill="auto"/>
            <w:tcMar>
              <w:top w:w="28" w:type="dxa"/>
              <w:left w:w="57" w:type="dxa"/>
              <w:bottom w:w="28" w:type="dxa"/>
              <w:right w:w="57" w:type="dxa"/>
            </w:tcMar>
            <w:vAlign w:val="center"/>
          </w:tcPr>
          <w:p>
            <w:pPr>
              <w:widowControl/>
              <w:spacing w:line="240" w:lineRule="exact"/>
              <w:jc w:val="left"/>
              <w:rPr>
                <w:rFonts w:hint="eastAsia" w:ascii="宋体" w:hAnsi="宋体" w:eastAsia="宋体" w:cs="宋体"/>
                <w:kern w:val="0"/>
                <w:sz w:val="20"/>
                <w:szCs w:val="20"/>
              </w:rPr>
            </w:pPr>
          </w:p>
        </w:tc>
        <w:tc>
          <w:tcPr>
            <w:tcW w:w="183" w:type="pct"/>
            <w:vMerge w:val="continue"/>
            <w:shd w:val="clear" w:color="auto" w:fill="auto"/>
            <w:tcMar>
              <w:top w:w="28" w:type="dxa"/>
              <w:left w:w="57" w:type="dxa"/>
              <w:bottom w:w="28" w:type="dxa"/>
              <w:right w:w="57" w:type="dxa"/>
            </w:tcMar>
            <w:vAlign w:val="center"/>
          </w:tcPr>
          <w:p>
            <w:pPr>
              <w:widowControl/>
              <w:spacing w:line="240" w:lineRule="exact"/>
              <w:jc w:val="center"/>
              <w:rPr>
                <w:rFonts w:hint="eastAsia" w:ascii="Times New Roman" w:hAnsi="Times New Roman" w:eastAsia="宋体" w:cs="宋体"/>
                <w:kern w:val="0"/>
                <w:sz w:val="20"/>
                <w:szCs w:val="20"/>
              </w:rPr>
            </w:pPr>
          </w:p>
        </w:tc>
        <w:tc>
          <w:tcPr>
            <w:tcW w:w="267" w:type="pct"/>
            <w:vMerge w:val="continue"/>
            <w:shd w:val="clear" w:color="auto" w:fill="auto"/>
            <w:tcMar>
              <w:top w:w="28" w:type="dxa"/>
              <w:left w:w="57" w:type="dxa"/>
              <w:bottom w:w="28" w:type="dxa"/>
              <w:right w:w="57" w:type="dxa"/>
            </w:tcMar>
            <w:vAlign w:val="center"/>
          </w:tcPr>
          <w:p>
            <w:pPr>
              <w:widowControl/>
              <w:spacing w:line="240" w:lineRule="exact"/>
              <w:rPr>
                <w:rFonts w:hint="eastAsia" w:ascii="宋体" w:hAnsi="宋体" w:eastAsia="宋体" w:cs="宋体"/>
                <w:kern w:val="0"/>
                <w:sz w:val="20"/>
                <w:szCs w:val="20"/>
              </w:rPr>
            </w:pPr>
          </w:p>
        </w:tc>
        <w:tc>
          <w:tcPr>
            <w:tcW w:w="582" w:type="pct"/>
            <w:vMerge w:val="continue"/>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03" w:hRule="atLeast"/>
          <w:jc w:val="center"/>
        </w:trPr>
        <w:tc>
          <w:tcPr>
            <w:tcW w:w="300"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lang w:val="en-US" w:eastAsia="zh-CN" w:bidi="ar-SA"/>
              </w:rPr>
            </w:pPr>
            <w:r>
              <w:rPr>
                <w:rFonts w:hint="eastAsia" w:ascii="宋体" w:hAnsi="宋体" w:eastAsia="宋体" w:cs="宋体"/>
                <w:kern w:val="0"/>
                <w:sz w:val="20"/>
                <w:szCs w:val="20"/>
              </w:rPr>
              <w:t>医药高新区（高港区）</w:t>
            </w:r>
          </w:p>
        </w:tc>
        <w:tc>
          <w:tcPr>
            <w:tcW w:w="191"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7A</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lang w:val="en-US" w:eastAsia="zh-CN" w:bidi="ar-SA"/>
              </w:rPr>
            </w:pPr>
            <w:r>
              <w:rPr>
                <w:rFonts w:hint="eastAsia" w:ascii="宋体" w:hAnsi="宋体" w:eastAsia="宋体" w:cs="宋体"/>
                <w:kern w:val="0"/>
                <w:sz w:val="20"/>
                <w:szCs w:val="20"/>
              </w:rPr>
              <w:t>医药高新区（高港区）人才发展中心</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lang w:val="en-US" w:eastAsia="zh-CN" w:bidi="ar-SA"/>
              </w:rPr>
            </w:pPr>
            <w:r>
              <w:rPr>
                <w:rFonts w:hint="eastAsia" w:ascii="宋体" w:hAnsi="宋体" w:eastAsia="宋体" w:cs="宋体"/>
                <w:kern w:val="0"/>
                <w:sz w:val="20"/>
                <w:szCs w:val="20"/>
              </w:rPr>
              <w:t>建筑工程类</w:t>
            </w:r>
          </w:p>
        </w:tc>
        <w:tc>
          <w:tcPr>
            <w:tcW w:w="228" w:type="pct"/>
            <w:shd w:val="clear" w:color="auto" w:fill="auto"/>
            <w:tcMar>
              <w:top w:w="28" w:type="dxa"/>
              <w:left w:w="57" w:type="dxa"/>
              <w:bottom w:w="28" w:type="dxa"/>
              <w:right w:w="57" w:type="dxa"/>
            </w:tcMar>
            <w:vAlign w:val="center"/>
          </w:tcPr>
          <w:p>
            <w:pPr>
              <w:widowControl/>
              <w:spacing w:line="240" w:lineRule="exact"/>
              <w:jc w:val="center"/>
              <w:rPr>
                <w:rFonts w:hint="eastAsia"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7A-</w:t>
            </w:r>
            <w:r>
              <w:rPr>
                <w:rFonts w:hint="eastAsia" w:ascii="Times New Roman" w:hAnsi="Times New Roman" w:eastAsia="宋体" w:cs="Times New Roman"/>
                <w:kern w:val="0"/>
                <w:sz w:val="20"/>
                <w:szCs w:val="20"/>
                <w:lang w:val="en-US" w:eastAsia="zh-CN"/>
              </w:rPr>
              <w:t>7</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4"/>
                <w:szCs w:val="24"/>
                <w:lang w:val="en-US" w:eastAsia="zh-CN" w:bidi="ar-SA"/>
              </w:rPr>
            </w:pPr>
            <w:r>
              <w:rPr>
                <w:rFonts w:ascii="Times New Roman" w:hAnsi="Times New Roman" w:eastAsia="宋体" w:cs="Times New Roman"/>
                <w:color w:val="000000"/>
                <w:kern w:val="0"/>
                <w:sz w:val="24"/>
                <w:szCs w:val="24"/>
              </w:rPr>
              <w:t>2</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本科</w:t>
            </w:r>
          </w:p>
          <w:p>
            <w:pPr>
              <w:widowControl/>
              <w:spacing w:line="240" w:lineRule="exact"/>
              <w:jc w:val="center"/>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及以上</w:t>
            </w:r>
          </w:p>
        </w:tc>
        <w:tc>
          <w:tcPr>
            <w:tcW w:w="912"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lang w:val="en-US" w:eastAsia="zh-CN" w:bidi="ar-SA"/>
              </w:rPr>
            </w:pPr>
            <w:r>
              <w:rPr>
                <w:rFonts w:hint="eastAsia" w:ascii="宋体" w:hAnsi="宋体" w:eastAsia="宋体" w:cs="宋体"/>
                <w:kern w:val="0"/>
                <w:sz w:val="20"/>
                <w:szCs w:val="20"/>
              </w:rPr>
              <w:t>工程造价、工程造价管理</w:t>
            </w:r>
          </w:p>
        </w:tc>
        <w:tc>
          <w:tcPr>
            <w:tcW w:w="846" w:type="pct"/>
            <w:vMerge w:val="continue"/>
            <w:shd w:val="clear" w:color="auto" w:fill="auto"/>
            <w:tcMar>
              <w:top w:w="28" w:type="dxa"/>
              <w:left w:w="57" w:type="dxa"/>
              <w:bottom w:w="28" w:type="dxa"/>
              <w:right w:w="57" w:type="dxa"/>
            </w:tcMar>
            <w:vAlign w:val="center"/>
          </w:tcPr>
          <w:p>
            <w:pPr>
              <w:widowControl/>
              <w:spacing w:line="240" w:lineRule="exact"/>
              <w:jc w:val="left"/>
              <w:rPr>
                <w:rFonts w:hint="eastAsia" w:ascii="宋体" w:hAnsi="宋体" w:eastAsia="宋体" w:cs="宋体"/>
                <w:kern w:val="0"/>
                <w:sz w:val="20"/>
                <w:szCs w:val="20"/>
              </w:rPr>
            </w:pPr>
          </w:p>
        </w:tc>
        <w:tc>
          <w:tcPr>
            <w:tcW w:w="345" w:type="pct"/>
            <w:vMerge w:val="continue"/>
            <w:shd w:val="clear" w:color="auto" w:fill="auto"/>
            <w:tcMar>
              <w:top w:w="28" w:type="dxa"/>
              <w:left w:w="57" w:type="dxa"/>
              <w:bottom w:w="28" w:type="dxa"/>
              <w:right w:w="57" w:type="dxa"/>
            </w:tcMar>
            <w:vAlign w:val="center"/>
          </w:tcPr>
          <w:p>
            <w:pPr>
              <w:widowControl/>
              <w:spacing w:line="240" w:lineRule="exact"/>
              <w:jc w:val="left"/>
              <w:rPr>
                <w:rFonts w:hint="eastAsia" w:ascii="宋体" w:hAnsi="宋体" w:eastAsia="宋体" w:cs="宋体"/>
                <w:kern w:val="0"/>
                <w:sz w:val="20"/>
                <w:szCs w:val="20"/>
              </w:rPr>
            </w:pPr>
          </w:p>
        </w:tc>
        <w:tc>
          <w:tcPr>
            <w:tcW w:w="183" w:type="pct"/>
            <w:vMerge w:val="continue"/>
            <w:shd w:val="clear" w:color="auto" w:fill="auto"/>
            <w:tcMar>
              <w:top w:w="28" w:type="dxa"/>
              <w:left w:w="57" w:type="dxa"/>
              <w:bottom w:w="28" w:type="dxa"/>
              <w:right w:w="57" w:type="dxa"/>
            </w:tcMar>
            <w:vAlign w:val="center"/>
          </w:tcPr>
          <w:p>
            <w:pPr>
              <w:widowControl/>
              <w:spacing w:line="240" w:lineRule="exact"/>
              <w:jc w:val="center"/>
              <w:rPr>
                <w:rFonts w:hint="eastAsia" w:ascii="Times New Roman" w:hAnsi="Times New Roman" w:eastAsia="宋体" w:cs="宋体"/>
                <w:kern w:val="0"/>
                <w:sz w:val="20"/>
                <w:szCs w:val="20"/>
              </w:rPr>
            </w:pPr>
          </w:p>
        </w:tc>
        <w:tc>
          <w:tcPr>
            <w:tcW w:w="267" w:type="pct"/>
            <w:vMerge w:val="continue"/>
            <w:shd w:val="clear" w:color="auto" w:fill="auto"/>
            <w:tcMar>
              <w:top w:w="28" w:type="dxa"/>
              <w:left w:w="57" w:type="dxa"/>
              <w:bottom w:w="28" w:type="dxa"/>
              <w:right w:w="57" w:type="dxa"/>
            </w:tcMar>
            <w:vAlign w:val="center"/>
          </w:tcPr>
          <w:p>
            <w:pPr>
              <w:widowControl/>
              <w:spacing w:line="240" w:lineRule="exact"/>
              <w:rPr>
                <w:rFonts w:hint="eastAsia" w:ascii="宋体" w:hAnsi="宋体" w:eastAsia="宋体" w:cs="宋体"/>
                <w:kern w:val="0"/>
                <w:sz w:val="20"/>
                <w:szCs w:val="20"/>
              </w:rPr>
            </w:pPr>
          </w:p>
        </w:tc>
        <w:tc>
          <w:tcPr>
            <w:tcW w:w="582" w:type="pct"/>
            <w:vMerge w:val="continue"/>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49" w:hRule="atLeast"/>
          <w:jc w:val="center"/>
        </w:trPr>
        <w:tc>
          <w:tcPr>
            <w:tcW w:w="300"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医药高新区（高港区）</w:t>
            </w:r>
          </w:p>
        </w:tc>
        <w:tc>
          <w:tcPr>
            <w:tcW w:w="191"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7A</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医药高新区（高港区）人才发展中心</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安全生产类</w:t>
            </w:r>
          </w:p>
        </w:tc>
        <w:tc>
          <w:tcPr>
            <w:tcW w:w="228" w:type="pct"/>
            <w:shd w:val="clear" w:color="auto" w:fill="auto"/>
            <w:tcMar>
              <w:top w:w="28" w:type="dxa"/>
              <w:left w:w="57" w:type="dxa"/>
              <w:bottom w:w="28" w:type="dxa"/>
              <w:right w:w="57" w:type="dxa"/>
            </w:tcMar>
            <w:vAlign w:val="center"/>
          </w:tcPr>
          <w:p>
            <w:pPr>
              <w:widowControl/>
              <w:spacing w:line="240" w:lineRule="exact"/>
              <w:jc w:val="center"/>
              <w:rPr>
                <w:rFonts w:hint="eastAsia" w:ascii="Times New Roman" w:hAnsi="Times New Roman" w:eastAsia="宋体" w:cs="Times New Roman"/>
                <w:kern w:val="0"/>
                <w:sz w:val="20"/>
                <w:szCs w:val="20"/>
                <w:lang w:val="en-US" w:eastAsia="zh-CN" w:bidi="ar-SA"/>
              </w:rPr>
            </w:pPr>
            <w:r>
              <w:rPr>
                <w:rFonts w:ascii="Times New Roman" w:hAnsi="Times New Roman" w:eastAsia="宋体" w:cs="Times New Roman"/>
                <w:kern w:val="0"/>
                <w:sz w:val="20"/>
                <w:szCs w:val="20"/>
              </w:rPr>
              <w:t>7A-</w:t>
            </w:r>
            <w:r>
              <w:rPr>
                <w:rFonts w:hint="eastAsia" w:ascii="Times New Roman" w:hAnsi="Times New Roman" w:eastAsia="宋体" w:cs="Times New Roman"/>
                <w:kern w:val="0"/>
                <w:sz w:val="20"/>
                <w:szCs w:val="20"/>
                <w:lang w:val="en-US" w:eastAsia="zh-CN"/>
              </w:rPr>
              <w:t>8</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lang w:val="en-US" w:eastAsia="zh-CN" w:bidi="ar-SA"/>
              </w:rPr>
            </w:pPr>
            <w:r>
              <w:rPr>
                <w:rFonts w:ascii="Times New Roman" w:hAnsi="Times New Roman" w:eastAsia="宋体" w:cs="Times New Roman"/>
                <w:color w:val="000000"/>
                <w:kern w:val="0"/>
                <w:sz w:val="20"/>
                <w:szCs w:val="20"/>
              </w:rPr>
              <w:t>2</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本科</w:t>
            </w:r>
          </w:p>
          <w:p>
            <w:pPr>
              <w:widowControl/>
              <w:spacing w:line="240" w:lineRule="exact"/>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及以上</w:t>
            </w:r>
          </w:p>
        </w:tc>
        <w:tc>
          <w:tcPr>
            <w:tcW w:w="912" w:type="pct"/>
            <w:shd w:val="clear" w:color="auto" w:fill="auto"/>
            <w:tcMar>
              <w:top w:w="28" w:type="dxa"/>
              <w:left w:w="57" w:type="dxa"/>
              <w:bottom w:w="28" w:type="dxa"/>
              <w:right w:w="57" w:type="dxa"/>
            </w:tcMar>
            <w:vAlign w:val="center"/>
          </w:tcPr>
          <w:p>
            <w:pPr>
              <w:widowControl/>
              <w:spacing w:line="240" w:lineRule="exact"/>
              <w:jc w:val="both"/>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消防工程、化学工程与技术、安全技术及工程</w:t>
            </w:r>
          </w:p>
        </w:tc>
        <w:tc>
          <w:tcPr>
            <w:tcW w:w="846" w:type="pct"/>
            <w:vMerge w:val="continue"/>
            <w:shd w:val="clear" w:color="auto" w:fill="auto"/>
            <w:tcMar>
              <w:top w:w="28" w:type="dxa"/>
              <w:left w:w="57" w:type="dxa"/>
              <w:bottom w:w="28" w:type="dxa"/>
              <w:right w:w="57" w:type="dxa"/>
            </w:tcMar>
            <w:vAlign w:val="center"/>
          </w:tcPr>
          <w:p>
            <w:pPr>
              <w:widowControl/>
              <w:spacing w:line="240" w:lineRule="exact"/>
              <w:jc w:val="left"/>
              <w:rPr>
                <w:rFonts w:hint="eastAsia" w:ascii="宋体" w:hAnsi="宋体" w:eastAsia="宋体" w:cs="宋体"/>
                <w:kern w:val="0"/>
                <w:sz w:val="20"/>
                <w:szCs w:val="20"/>
              </w:rPr>
            </w:pPr>
          </w:p>
        </w:tc>
        <w:tc>
          <w:tcPr>
            <w:tcW w:w="345" w:type="pct"/>
            <w:vMerge w:val="continue"/>
            <w:shd w:val="clear" w:color="auto" w:fill="auto"/>
            <w:tcMar>
              <w:top w:w="28" w:type="dxa"/>
              <w:left w:w="57" w:type="dxa"/>
              <w:bottom w:w="28" w:type="dxa"/>
              <w:right w:w="57" w:type="dxa"/>
            </w:tcMar>
            <w:vAlign w:val="center"/>
          </w:tcPr>
          <w:p>
            <w:pPr>
              <w:widowControl/>
              <w:spacing w:line="240" w:lineRule="exact"/>
              <w:jc w:val="left"/>
              <w:rPr>
                <w:rFonts w:hint="eastAsia" w:ascii="宋体" w:hAnsi="宋体" w:eastAsia="宋体" w:cs="宋体"/>
                <w:kern w:val="0"/>
                <w:sz w:val="20"/>
                <w:szCs w:val="20"/>
              </w:rPr>
            </w:pPr>
          </w:p>
        </w:tc>
        <w:tc>
          <w:tcPr>
            <w:tcW w:w="183" w:type="pct"/>
            <w:vMerge w:val="continue"/>
            <w:shd w:val="clear" w:color="auto" w:fill="auto"/>
            <w:tcMar>
              <w:top w:w="28" w:type="dxa"/>
              <w:left w:w="57" w:type="dxa"/>
              <w:bottom w:w="28" w:type="dxa"/>
              <w:right w:w="57" w:type="dxa"/>
            </w:tcMar>
            <w:vAlign w:val="center"/>
          </w:tcPr>
          <w:p>
            <w:pPr>
              <w:widowControl/>
              <w:spacing w:line="240" w:lineRule="exact"/>
              <w:jc w:val="center"/>
              <w:rPr>
                <w:rFonts w:hint="eastAsia" w:ascii="Times New Roman" w:hAnsi="Times New Roman" w:eastAsia="宋体" w:cs="宋体"/>
                <w:kern w:val="0"/>
                <w:sz w:val="20"/>
                <w:szCs w:val="20"/>
              </w:rPr>
            </w:pPr>
          </w:p>
        </w:tc>
        <w:tc>
          <w:tcPr>
            <w:tcW w:w="267" w:type="pct"/>
            <w:vMerge w:val="continue"/>
            <w:shd w:val="clear" w:color="auto" w:fill="auto"/>
            <w:tcMar>
              <w:top w:w="28" w:type="dxa"/>
              <w:left w:w="57" w:type="dxa"/>
              <w:bottom w:w="28" w:type="dxa"/>
              <w:right w:w="57" w:type="dxa"/>
            </w:tcMar>
            <w:vAlign w:val="center"/>
          </w:tcPr>
          <w:p>
            <w:pPr>
              <w:widowControl/>
              <w:spacing w:line="240" w:lineRule="exact"/>
              <w:rPr>
                <w:rFonts w:hint="eastAsia" w:ascii="宋体" w:hAnsi="宋体" w:eastAsia="宋体" w:cs="宋体"/>
                <w:kern w:val="0"/>
                <w:sz w:val="20"/>
                <w:szCs w:val="20"/>
              </w:rPr>
            </w:pPr>
          </w:p>
        </w:tc>
        <w:tc>
          <w:tcPr>
            <w:tcW w:w="582" w:type="pct"/>
            <w:vMerge w:val="continue"/>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083" w:hRule="atLeast"/>
          <w:jc w:val="center"/>
        </w:trPr>
        <w:tc>
          <w:tcPr>
            <w:tcW w:w="300"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医药高新区（高港区）</w:t>
            </w:r>
          </w:p>
        </w:tc>
        <w:tc>
          <w:tcPr>
            <w:tcW w:w="191"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7A</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医药高新区（高港区）人才发展中心</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环境保护类</w:t>
            </w:r>
          </w:p>
        </w:tc>
        <w:tc>
          <w:tcPr>
            <w:tcW w:w="228" w:type="pct"/>
            <w:shd w:val="clear" w:color="auto" w:fill="auto"/>
            <w:tcMar>
              <w:top w:w="28" w:type="dxa"/>
              <w:left w:w="57" w:type="dxa"/>
              <w:bottom w:w="28" w:type="dxa"/>
              <w:right w:w="57" w:type="dxa"/>
            </w:tcMar>
            <w:vAlign w:val="center"/>
          </w:tcPr>
          <w:p>
            <w:pPr>
              <w:widowControl/>
              <w:spacing w:line="240" w:lineRule="exact"/>
              <w:jc w:val="center"/>
              <w:rPr>
                <w:rFonts w:hint="eastAsia" w:ascii="Times New Roman" w:hAnsi="Times New Roman" w:eastAsia="宋体" w:cs="Times New Roman"/>
                <w:kern w:val="0"/>
                <w:sz w:val="20"/>
                <w:szCs w:val="20"/>
                <w:lang w:eastAsia="zh-CN"/>
              </w:rPr>
            </w:pPr>
            <w:r>
              <w:rPr>
                <w:rFonts w:ascii="Times New Roman" w:hAnsi="Times New Roman" w:eastAsia="宋体" w:cs="Times New Roman"/>
                <w:kern w:val="0"/>
                <w:sz w:val="20"/>
                <w:szCs w:val="20"/>
              </w:rPr>
              <w:t>7A-</w:t>
            </w:r>
            <w:r>
              <w:rPr>
                <w:rFonts w:hint="eastAsia" w:ascii="Times New Roman" w:hAnsi="Times New Roman" w:eastAsia="宋体" w:cs="Times New Roman"/>
                <w:kern w:val="0"/>
                <w:sz w:val="20"/>
                <w:szCs w:val="20"/>
                <w:lang w:val="en-US" w:eastAsia="zh-CN"/>
              </w:rPr>
              <w:t>9</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本科</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及以上</w:t>
            </w:r>
          </w:p>
        </w:tc>
        <w:tc>
          <w:tcPr>
            <w:tcW w:w="912"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环境保护类</w:t>
            </w:r>
          </w:p>
        </w:tc>
        <w:tc>
          <w:tcPr>
            <w:tcW w:w="846" w:type="pct"/>
            <w:vMerge w:val="continue"/>
            <w:shd w:val="clear" w:color="auto" w:fill="auto"/>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345" w:type="pct"/>
            <w:vMerge w:val="continue"/>
            <w:shd w:val="clear" w:color="auto" w:fill="auto"/>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183" w:type="pct"/>
            <w:vMerge w:val="continue"/>
            <w:shd w:val="clear" w:color="auto" w:fill="auto"/>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267" w:type="pct"/>
            <w:vMerge w:val="continue"/>
            <w:shd w:val="clear" w:color="auto" w:fill="auto"/>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582" w:type="pct"/>
            <w:vMerge w:val="continue"/>
            <w:shd w:val="clear" w:color="auto" w:fill="auto"/>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67" w:hRule="atLeast"/>
          <w:jc w:val="center"/>
        </w:trPr>
        <w:tc>
          <w:tcPr>
            <w:tcW w:w="300"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医药高新区（高港区）</w:t>
            </w:r>
          </w:p>
        </w:tc>
        <w:tc>
          <w:tcPr>
            <w:tcW w:w="191"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7A</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医药高新区（高港区）人才发展中心</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水利工程类</w:t>
            </w:r>
          </w:p>
        </w:tc>
        <w:tc>
          <w:tcPr>
            <w:tcW w:w="228" w:type="pct"/>
            <w:shd w:val="clear" w:color="auto" w:fill="auto"/>
            <w:tcMar>
              <w:top w:w="28" w:type="dxa"/>
              <w:left w:w="57" w:type="dxa"/>
              <w:bottom w:w="28" w:type="dxa"/>
              <w:right w:w="57" w:type="dxa"/>
            </w:tcMar>
            <w:vAlign w:val="center"/>
          </w:tcPr>
          <w:p>
            <w:pPr>
              <w:widowControl/>
              <w:spacing w:line="240" w:lineRule="exact"/>
              <w:jc w:val="center"/>
              <w:rPr>
                <w:rFonts w:hint="default" w:ascii="Times New Roman" w:hAnsi="Times New Roman" w:eastAsia="宋体" w:cs="Times New Roman"/>
                <w:kern w:val="0"/>
                <w:sz w:val="20"/>
                <w:szCs w:val="20"/>
                <w:lang w:val="en-US" w:eastAsia="zh-CN"/>
              </w:rPr>
            </w:pPr>
            <w:r>
              <w:rPr>
                <w:rFonts w:ascii="Times New Roman" w:hAnsi="Times New Roman" w:eastAsia="宋体" w:cs="Times New Roman"/>
                <w:kern w:val="0"/>
                <w:sz w:val="20"/>
                <w:szCs w:val="20"/>
              </w:rPr>
              <w:t>7A-</w:t>
            </w:r>
            <w:r>
              <w:rPr>
                <w:rFonts w:hint="eastAsia" w:ascii="Times New Roman" w:hAnsi="Times New Roman" w:eastAsia="宋体" w:cs="Times New Roman"/>
                <w:kern w:val="0"/>
                <w:sz w:val="20"/>
                <w:szCs w:val="20"/>
                <w:lang w:val="en-US" w:eastAsia="zh-CN"/>
              </w:rPr>
              <w:t>10</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本科</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及以上</w:t>
            </w:r>
          </w:p>
        </w:tc>
        <w:tc>
          <w:tcPr>
            <w:tcW w:w="912"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水文学与水资源</w:t>
            </w:r>
          </w:p>
        </w:tc>
        <w:tc>
          <w:tcPr>
            <w:tcW w:w="846" w:type="pct"/>
            <w:vMerge w:val="continue"/>
            <w:shd w:val="clear" w:color="auto" w:fill="auto"/>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345" w:type="pct"/>
            <w:vMerge w:val="continue"/>
            <w:shd w:val="clear" w:color="auto" w:fill="auto"/>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183" w:type="pct"/>
            <w:vMerge w:val="continue"/>
            <w:shd w:val="clear" w:color="auto" w:fill="auto"/>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267" w:type="pct"/>
            <w:vMerge w:val="continue"/>
            <w:shd w:val="clear" w:color="auto" w:fill="auto"/>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582" w:type="pct"/>
            <w:vMerge w:val="continue"/>
            <w:shd w:val="clear" w:color="auto" w:fill="auto"/>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166" w:hRule="atLeast"/>
          <w:jc w:val="center"/>
        </w:trPr>
        <w:tc>
          <w:tcPr>
            <w:tcW w:w="300"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医药高新区（高港区）</w:t>
            </w:r>
          </w:p>
        </w:tc>
        <w:tc>
          <w:tcPr>
            <w:tcW w:w="191"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7A</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医药高新区（高港区）人才发展中心</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法律类</w:t>
            </w:r>
          </w:p>
        </w:tc>
        <w:tc>
          <w:tcPr>
            <w:tcW w:w="228" w:type="pct"/>
            <w:shd w:val="clear" w:color="auto" w:fill="auto"/>
            <w:tcMar>
              <w:top w:w="28" w:type="dxa"/>
              <w:left w:w="57" w:type="dxa"/>
              <w:bottom w:w="28" w:type="dxa"/>
              <w:right w:w="57" w:type="dxa"/>
            </w:tcMar>
            <w:vAlign w:val="center"/>
          </w:tcPr>
          <w:p>
            <w:pPr>
              <w:widowControl/>
              <w:spacing w:line="240" w:lineRule="exact"/>
              <w:jc w:val="center"/>
              <w:rPr>
                <w:rFonts w:hint="default" w:ascii="Times New Roman" w:hAnsi="Times New Roman" w:eastAsia="宋体" w:cs="Times New Roman"/>
                <w:kern w:val="0"/>
                <w:sz w:val="20"/>
                <w:szCs w:val="20"/>
                <w:lang w:val="en-US" w:eastAsia="zh-CN"/>
              </w:rPr>
            </w:pPr>
            <w:r>
              <w:rPr>
                <w:rFonts w:ascii="Times New Roman" w:hAnsi="Times New Roman" w:eastAsia="宋体" w:cs="Times New Roman"/>
                <w:kern w:val="0"/>
                <w:sz w:val="20"/>
                <w:szCs w:val="20"/>
              </w:rPr>
              <w:t>7A-</w:t>
            </w:r>
            <w:r>
              <w:rPr>
                <w:rFonts w:hint="eastAsia" w:ascii="Times New Roman" w:hAnsi="Times New Roman" w:eastAsia="宋体" w:cs="Times New Roman"/>
                <w:kern w:val="0"/>
                <w:sz w:val="20"/>
                <w:szCs w:val="20"/>
                <w:lang w:val="en-US" w:eastAsia="zh-CN"/>
              </w:rPr>
              <w:t>11</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本科</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及以上</w:t>
            </w:r>
          </w:p>
        </w:tc>
        <w:tc>
          <w:tcPr>
            <w:tcW w:w="912" w:type="pct"/>
            <w:shd w:val="clear" w:color="auto" w:fill="auto"/>
            <w:tcMar>
              <w:top w:w="28" w:type="dxa"/>
              <w:left w:w="57" w:type="dxa"/>
              <w:bottom w:w="28" w:type="dxa"/>
              <w:right w:w="57" w:type="dxa"/>
            </w:tcMar>
            <w:vAlign w:val="center"/>
          </w:tcPr>
          <w:p>
            <w:pPr>
              <w:widowControl/>
              <w:spacing w:line="240" w:lineRule="exact"/>
              <w:jc w:val="both"/>
              <w:rPr>
                <w:rFonts w:ascii="宋体" w:hAnsi="宋体" w:eastAsia="宋体" w:cs="宋体"/>
                <w:kern w:val="0"/>
                <w:sz w:val="20"/>
                <w:szCs w:val="20"/>
              </w:rPr>
            </w:pPr>
            <w:r>
              <w:rPr>
                <w:rFonts w:hint="eastAsia" w:ascii="宋体" w:hAnsi="宋体" w:eastAsia="宋体" w:cs="宋体"/>
                <w:kern w:val="0"/>
                <w:sz w:val="20"/>
                <w:szCs w:val="20"/>
              </w:rPr>
              <w:t>知识产权、知识产权法、知识产权法学</w:t>
            </w:r>
          </w:p>
        </w:tc>
        <w:tc>
          <w:tcPr>
            <w:tcW w:w="846" w:type="pct"/>
            <w:vMerge w:val="continue"/>
            <w:shd w:val="clear" w:color="auto" w:fill="auto"/>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345" w:type="pct"/>
            <w:vMerge w:val="continue"/>
            <w:shd w:val="clear" w:color="auto" w:fill="auto"/>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183" w:type="pct"/>
            <w:vMerge w:val="continue"/>
            <w:shd w:val="clear" w:color="auto" w:fill="auto"/>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267" w:type="pct"/>
            <w:vMerge w:val="continue"/>
            <w:shd w:val="clear" w:color="auto" w:fill="auto"/>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582" w:type="pct"/>
            <w:vMerge w:val="continue"/>
            <w:shd w:val="clear" w:color="auto" w:fill="auto"/>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r>
    </w:tbl>
    <w:p/>
    <w:p>
      <w:pPr>
        <w:widowControl/>
        <w:jc w:val="left"/>
      </w:pPr>
      <w:r>
        <w:br w:type="page"/>
      </w:r>
    </w:p>
    <w:p>
      <w:pPr>
        <w:rPr>
          <w:rFonts w:hint="eastAsia" w:ascii="黑体" w:hAnsi="黑体" w:eastAsia="黑体"/>
          <w:sz w:val="30"/>
          <w:szCs w:val="30"/>
        </w:rPr>
      </w:pPr>
    </w:p>
    <w:p>
      <w:pPr>
        <w:jc w:val="center"/>
        <w:rPr>
          <w:rFonts w:hint="eastAsia" w:ascii="方正小标宋_GBK" w:eastAsia="方正小标宋_GBK"/>
          <w:sz w:val="44"/>
          <w:szCs w:val="44"/>
        </w:rPr>
      </w:pPr>
      <w:r>
        <w:rPr>
          <w:rFonts w:hint="eastAsia" w:ascii="Times New Roman" w:hAnsi="Times New Roman" w:eastAsia="方正小标宋_GBK"/>
          <w:sz w:val="44"/>
          <w:szCs w:val="44"/>
        </w:rPr>
        <w:t>2024</w:t>
      </w:r>
      <w:r>
        <w:rPr>
          <w:rFonts w:hint="eastAsia" w:ascii="方正小标宋_GBK" w:eastAsia="方正小标宋_GBK"/>
          <w:sz w:val="44"/>
          <w:szCs w:val="44"/>
        </w:rPr>
        <w:t>年度泰州市青年人才选聘岗位简介表（国企类岗位）</w:t>
      </w:r>
    </w:p>
    <w:tbl>
      <w:tblPr>
        <w:tblStyle w:val="4"/>
        <w:tblW w:w="5116"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55"/>
        <w:gridCol w:w="657"/>
        <w:gridCol w:w="991"/>
        <w:gridCol w:w="991"/>
        <w:gridCol w:w="710"/>
        <w:gridCol w:w="567"/>
        <w:gridCol w:w="567"/>
        <w:gridCol w:w="1131"/>
        <w:gridCol w:w="2129"/>
        <w:gridCol w:w="2135"/>
        <w:gridCol w:w="1562"/>
        <w:gridCol w:w="567"/>
        <w:gridCol w:w="855"/>
        <w:gridCol w:w="177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275" w:type="pct"/>
            <w:vMerge w:val="restar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地区</w:t>
            </w:r>
            <w:r>
              <w:rPr>
                <w:rFonts w:ascii="Times New Roman" w:hAnsi="Times New Roman" w:eastAsia="宋体" w:cs="Times New Roman"/>
                <w:b/>
                <w:bCs/>
                <w:color w:val="000000"/>
                <w:kern w:val="0"/>
                <w:sz w:val="20"/>
                <w:szCs w:val="20"/>
              </w:rPr>
              <w:br w:type="textWrapping"/>
            </w:r>
            <w:r>
              <w:rPr>
                <w:rFonts w:hint="eastAsia" w:ascii="宋体" w:hAnsi="宋体" w:eastAsia="宋体" w:cs="宋体"/>
                <w:b/>
                <w:bCs/>
                <w:color w:val="000000"/>
                <w:kern w:val="0"/>
                <w:sz w:val="20"/>
                <w:szCs w:val="20"/>
              </w:rPr>
              <w:t>名称</w:t>
            </w:r>
          </w:p>
        </w:tc>
        <w:tc>
          <w:tcPr>
            <w:tcW w:w="531" w:type="pct"/>
            <w:gridSpan w:val="2"/>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选聘单位</w:t>
            </w:r>
          </w:p>
        </w:tc>
        <w:tc>
          <w:tcPr>
            <w:tcW w:w="319" w:type="pct"/>
            <w:vMerge w:val="restar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岗位</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类别</w:t>
            </w:r>
          </w:p>
        </w:tc>
        <w:tc>
          <w:tcPr>
            <w:tcW w:w="412" w:type="pct"/>
            <w:gridSpan w:val="2"/>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选聘岗位</w:t>
            </w:r>
          </w:p>
        </w:tc>
        <w:tc>
          <w:tcPr>
            <w:tcW w:w="182" w:type="pct"/>
            <w:vMerge w:val="restar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选聘</w:t>
            </w:r>
            <w:r>
              <w:rPr>
                <w:rFonts w:ascii="Times New Roman" w:hAnsi="Times New Roman" w:eastAsia="宋体" w:cs="Times New Roman"/>
                <w:b/>
                <w:bCs/>
                <w:color w:val="000000"/>
                <w:kern w:val="0"/>
                <w:sz w:val="20"/>
                <w:szCs w:val="20"/>
              </w:rPr>
              <w:br w:type="textWrapping"/>
            </w:r>
            <w:r>
              <w:rPr>
                <w:rFonts w:ascii="Times New Roman" w:hAnsi="Times New Roman" w:eastAsia="宋体" w:cs="Times New Roman"/>
                <w:b/>
                <w:bCs/>
                <w:color w:val="000000"/>
                <w:kern w:val="0"/>
                <w:sz w:val="20"/>
                <w:szCs w:val="20"/>
              </w:rPr>
              <w:t>人数</w:t>
            </w:r>
          </w:p>
        </w:tc>
        <w:tc>
          <w:tcPr>
            <w:tcW w:w="1741" w:type="pct"/>
            <w:gridSpan w:val="3"/>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选聘条件</w:t>
            </w:r>
          </w:p>
        </w:tc>
        <w:tc>
          <w:tcPr>
            <w:tcW w:w="504" w:type="pct"/>
            <w:vMerge w:val="restar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联系方式</w:t>
            </w:r>
          </w:p>
        </w:tc>
        <w:tc>
          <w:tcPr>
            <w:tcW w:w="182" w:type="pct"/>
            <w:vMerge w:val="restar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开考</w:t>
            </w:r>
          </w:p>
          <w:p>
            <w:pPr>
              <w:widowControl/>
              <w:spacing w:line="24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比例</w:t>
            </w:r>
          </w:p>
        </w:tc>
        <w:tc>
          <w:tcPr>
            <w:tcW w:w="275" w:type="pct"/>
            <w:vMerge w:val="restar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考试</w:t>
            </w:r>
          </w:p>
          <w:p>
            <w:pPr>
              <w:widowControl/>
              <w:spacing w:line="24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形式</w:t>
            </w:r>
          </w:p>
        </w:tc>
        <w:tc>
          <w:tcPr>
            <w:tcW w:w="572" w:type="pct"/>
            <w:vMerge w:val="restar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优惠政策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275"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b/>
                <w:bCs/>
                <w:color w:val="000000"/>
                <w:kern w:val="0"/>
                <w:sz w:val="20"/>
                <w:szCs w:val="20"/>
              </w:rPr>
            </w:pPr>
          </w:p>
        </w:tc>
        <w:tc>
          <w:tcPr>
            <w:tcW w:w="21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b/>
                <w:bCs/>
                <w:color w:val="000000"/>
                <w:kern w:val="0"/>
                <w:sz w:val="20"/>
                <w:szCs w:val="20"/>
              </w:rPr>
            </w:pPr>
            <w:r>
              <w:rPr>
                <w:rFonts w:hint="eastAsia" w:ascii="宋体" w:hAnsi="宋体" w:eastAsia="宋体" w:cs="Times New Roman"/>
                <w:b/>
                <w:bCs/>
                <w:color w:val="000000"/>
                <w:kern w:val="0"/>
                <w:sz w:val="20"/>
                <w:szCs w:val="20"/>
              </w:rPr>
              <w:t>单位</w:t>
            </w:r>
            <w:r>
              <w:rPr>
                <w:rFonts w:hint="eastAsia" w:ascii="宋体" w:hAnsi="宋体" w:eastAsia="宋体" w:cs="Times New Roman"/>
                <w:b/>
                <w:bCs/>
                <w:color w:val="000000"/>
                <w:kern w:val="0"/>
                <w:sz w:val="20"/>
                <w:szCs w:val="20"/>
              </w:rPr>
              <w:br w:type="textWrapping"/>
            </w:r>
            <w:r>
              <w:rPr>
                <w:rFonts w:hint="eastAsia" w:ascii="宋体" w:hAnsi="宋体" w:eastAsia="宋体" w:cs="Times New Roman"/>
                <w:b/>
                <w:bCs/>
                <w:color w:val="000000"/>
                <w:kern w:val="0"/>
                <w:sz w:val="20"/>
                <w:szCs w:val="20"/>
              </w:rPr>
              <w:t>代码</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单位</w:t>
            </w:r>
          </w:p>
          <w:p>
            <w:pPr>
              <w:widowControl/>
              <w:spacing w:line="240" w:lineRule="exact"/>
              <w:jc w:val="center"/>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全称</w:t>
            </w:r>
          </w:p>
        </w:tc>
        <w:tc>
          <w:tcPr>
            <w:tcW w:w="319"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b/>
                <w:bCs/>
                <w:kern w:val="0"/>
                <w:sz w:val="20"/>
                <w:szCs w:val="20"/>
              </w:rPr>
            </w:pPr>
          </w:p>
        </w:tc>
        <w:tc>
          <w:tcPr>
            <w:tcW w:w="229"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b/>
                <w:bCs/>
                <w:color w:val="000000"/>
                <w:kern w:val="0"/>
                <w:sz w:val="20"/>
                <w:szCs w:val="20"/>
              </w:rPr>
            </w:pPr>
            <w:r>
              <w:rPr>
                <w:rFonts w:hint="eastAsia" w:ascii="宋体" w:hAnsi="宋体" w:eastAsia="宋体" w:cs="Times New Roman"/>
                <w:b/>
                <w:bCs/>
                <w:color w:val="000000"/>
                <w:kern w:val="0"/>
                <w:sz w:val="20"/>
                <w:szCs w:val="20"/>
              </w:rPr>
              <w:t>岗位</w:t>
            </w:r>
            <w:r>
              <w:rPr>
                <w:rFonts w:hint="eastAsia" w:ascii="宋体" w:hAnsi="宋体" w:eastAsia="宋体" w:cs="Times New Roman"/>
                <w:b/>
                <w:bCs/>
                <w:color w:val="000000"/>
                <w:kern w:val="0"/>
                <w:sz w:val="20"/>
                <w:szCs w:val="20"/>
              </w:rPr>
              <w:br w:type="textWrapping"/>
            </w:r>
            <w:r>
              <w:rPr>
                <w:rFonts w:hint="eastAsia" w:ascii="宋体" w:hAnsi="宋体" w:eastAsia="宋体" w:cs="Times New Roman"/>
                <w:b/>
                <w:bCs/>
                <w:color w:val="000000"/>
                <w:kern w:val="0"/>
                <w:sz w:val="20"/>
                <w:szCs w:val="20"/>
              </w:rPr>
              <w:t>代码</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hint="eastAsia"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岗位</w:t>
            </w:r>
          </w:p>
          <w:p>
            <w:pPr>
              <w:widowControl/>
              <w:spacing w:line="240" w:lineRule="exact"/>
              <w:jc w:val="center"/>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名称</w:t>
            </w:r>
          </w:p>
        </w:tc>
        <w:tc>
          <w:tcPr>
            <w:tcW w:w="182" w:type="pct"/>
            <w:vMerge w:val="continue"/>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b/>
                <w:bCs/>
                <w:color w:val="000000"/>
                <w:kern w:val="0"/>
                <w:sz w:val="20"/>
                <w:szCs w:val="20"/>
              </w:rPr>
            </w:pPr>
          </w:p>
        </w:tc>
        <w:tc>
          <w:tcPr>
            <w:tcW w:w="365"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学历</w:t>
            </w:r>
          </w:p>
        </w:tc>
        <w:tc>
          <w:tcPr>
            <w:tcW w:w="687"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专业</w:t>
            </w:r>
          </w:p>
        </w:tc>
        <w:tc>
          <w:tcPr>
            <w:tcW w:w="689"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其他条件</w:t>
            </w:r>
          </w:p>
        </w:tc>
        <w:tc>
          <w:tcPr>
            <w:tcW w:w="504"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b/>
                <w:bCs/>
                <w:kern w:val="0"/>
                <w:sz w:val="20"/>
                <w:szCs w:val="20"/>
              </w:rPr>
            </w:pPr>
          </w:p>
        </w:tc>
        <w:tc>
          <w:tcPr>
            <w:tcW w:w="182"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b/>
                <w:bCs/>
                <w:color w:val="000000"/>
                <w:kern w:val="0"/>
                <w:sz w:val="20"/>
                <w:szCs w:val="20"/>
              </w:rPr>
            </w:pPr>
          </w:p>
        </w:tc>
        <w:tc>
          <w:tcPr>
            <w:tcW w:w="275"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b/>
                <w:bCs/>
                <w:kern w:val="0"/>
                <w:sz w:val="20"/>
                <w:szCs w:val="20"/>
              </w:rPr>
            </w:pPr>
          </w:p>
        </w:tc>
        <w:tc>
          <w:tcPr>
            <w:tcW w:w="572"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b/>
                <w:bCs/>
                <w:color w:val="000000"/>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275"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泰州市</w:t>
            </w:r>
          </w:p>
        </w:tc>
        <w:tc>
          <w:tcPr>
            <w:tcW w:w="21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1B</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泰州市属国有企业</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经济金融投资类</w:t>
            </w:r>
          </w:p>
        </w:tc>
        <w:tc>
          <w:tcPr>
            <w:tcW w:w="229"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1B-1</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轮岗</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hint="eastAsia" w:ascii="Times New Roman" w:hAnsi="Times New Roman" w:eastAsia="宋体" w:cs="Times New Roman"/>
                <w:color w:val="000000"/>
                <w:kern w:val="0"/>
                <w:sz w:val="20"/>
                <w:szCs w:val="20"/>
                <w:lang w:eastAsia="zh-CN"/>
              </w:rPr>
            </w:pPr>
            <w:r>
              <w:rPr>
                <w:rFonts w:hint="eastAsia" w:ascii="Times New Roman" w:hAnsi="Times New Roman" w:eastAsia="宋体" w:cs="Times New Roman"/>
                <w:color w:val="000000"/>
                <w:kern w:val="0"/>
                <w:sz w:val="20"/>
                <w:szCs w:val="20"/>
                <w:lang w:val="en-US" w:eastAsia="zh-CN"/>
              </w:rPr>
              <w:t>8</w:t>
            </w:r>
          </w:p>
        </w:tc>
        <w:tc>
          <w:tcPr>
            <w:tcW w:w="365"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Times New Roman" w:hAnsi="Times New Roman" w:eastAsia="宋体" w:cs="Times New Roman"/>
                <w:kern w:val="0"/>
                <w:sz w:val="20"/>
                <w:szCs w:val="20"/>
                <w:lang w:val="en-US" w:eastAsia="zh-CN"/>
              </w:rPr>
              <w:t>硕士研究生及以上或C9本科</w:t>
            </w:r>
          </w:p>
        </w:tc>
        <w:tc>
          <w:tcPr>
            <w:tcW w:w="687" w:type="pct"/>
            <w:shd w:val="clear" w:color="auto" w:fill="auto"/>
            <w:tcMar>
              <w:top w:w="28" w:type="dxa"/>
              <w:left w:w="57" w:type="dxa"/>
              <w:bottom w:w="28" w:type="dxa"/>
              <w:right w:w="57" w:type="dxa"/>
            </w:tcMar>
            <w:vAlign w:val="center"/>
          </w:tcPr>
          <w:p>
            <w:pPr>
              <w:widowControl/>
              <w:spacing w:line="240" w:lineRule="exact"/>
              <w:jc w:val="both"/>
              <w:rPr>
                <w:rFonts w:ascii="宋体" w:hAnsi="宋体" w:eastAsia="宋体" w:cs="宋体"/>
                <w:kern w:val="0"/>
                <w:sz w:val="20"/>
                <w:szCs w:val="20"/>
              </w:rPr>
            </w:pPr>
            <w:r>
              <w:rPr>
                <w:rFonts w:hint="eastAsia" w:ascii="宋体" w:hAnsi="宋体" w:eastAsia="宋体" w:cs="宋体"/>
                <w:kern w:val="0"/>
                <w:sz w:val="20"/>
                <w:szCs w:val="20"/>
              </w:rPr>
              <w:t>经济类、财务财会类、法律类</w:t>
            </w:r>
          </w:p>
        </w:tc>
        <w:tc>
          <w:tcPr>
            <w:tcW w:w="689" w:type="pct"/>
            <w:vMerge w:val="restart"/>
            <w:shd w:val="clear" w:color="auto" w:fill="auto"/>
            <w:tcMar>
              <w:top w:w="28" w:type="dxa"/>
              <w:left w:w="57" w:type="dxa"/>
              <w:bottom w:w="28" w:type="dxa"/>
              <w:right w:w="57" w:type="dxa"/>
            </w:tcMar>
            <w:vAlign w:val="center"/>
          </w:tcPr>
          <w:p>
            <w:pPr>
              <w:widowControl/>
              <w:spacing w:line="240" w:lineRule="exact"/>
              <w:jc w:val="left"/>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1.研究生毕业院校应具备以下条件之一：</w:t>
            </w:r>
          </w:p>
          <w:p>
            <w:pPr>
              <w:widowControl/>
              <w:spacing w:line="240" w:lineRule="exact"/>
              <w:jc w:val="left"/>
              <w:rPr>
                <w:rFonts w:hint="eastAsia" w:ascii="宋体" w:hAnsi="宋体" w:eastAsia="宋体" w:cs="宋体"/>
                <w:kern w:val="0"/>
                <w:sz w:val="20"/>
                <w:szCs w:val="20"/>
              </w:rPr>
            </w:pPr>
            <w:r>
              <w:rPr>
                <w:rFonts w:hint="default" w:ascii="宋体" w:hAnsi="宋体" w:eastAsia="宋体" w:cs="宋体"/>
                <w:kern w:val="0"/>
                <w:sz w:val="20"/>
                <w:szCs w:val="20"/>
              </w:rPr>
              <w:t>①</w:t>
            </w:r>
            <w:r>
              <w:rPr>
                <w:rFonts w:hint="eastAsia" w:ascii="宋体" w:hAnsi="宋体" w:eastAsia="宋体" w:cs="宋体"/>
                <w:kern w:val="0"/>
                <w:sz w:val="20"/>
                <w:szCs w:val="20"/>
              </w:rPr>
              <w:t>第一轮“一流大学”建设高校</w:t>
            </w:r>
            <w:r>
              <w:rPr>
                <w:rFonts w:hint="eastAsia" w:ascii="宋体" w:hAnsi="宋体" w:eastAsia="宋体" w:cs="宋体"/>
                <w:kern w:val="0"/>
                <w:sz w:val="20"/>
                <w:szCs w:val="20"/>
                <w:lang w:eastAsia="zh-CN"/>
              </w:rPr>
              <w:t>（</w:t>
            </w:r>
            <w:r>
              <w:rPr>
                <w:rFonts w:hint="eastAsia" w:ascii="宋体" w:hAnsi="宋体" w:eastAsia="宋体" w:cs="宋体"/>
                <w:kern w:val="0"/>
                <w:sz w:val="20"/>
                <w:szCs w:val="20"/>
                <w:lang w:val="en-US" w:eastAsia="zh-CN"/>
              </w:rPr>
              <w:t>专业不限一流学科</w:t>
            </w:r>
            <w:r>
              <w:rPr>
                <w:rFonts w:hint="eastAsia" w:ascii="宋体" w:hAnsi="宋体" w:eastAsia="宋体" w:cs="宋体"/>
                <w:kern w:val="0"/>
                <w:sz w:val="20"/>
                <w:szCs w:val="20"/>
                <w:lang w:eastAsia="zh-CN"/>
              </w:rPr>
              <w:t>）</w:t>
            </w:r>
            <w:r>
              <w:rPr>
                <w:rFonts w:hint="eastAsia" w:ascii="宋体" w:hAnsi="宋体" w:eastAsia="宋体" w:cs="宋体"/>
                <w:kern w:val="0"/>
                <w:sz w:val="20"/>
                <w:szCs w:val="20"/>
              </w:rPr>
              <w:t>；</w:t>
            </w:r>
            <w:r>
              <w:rPr>
                <w:rFonts w:hint="eastAsia" w:ascii="宋体" w:hAnsi="宋体" w:eastAsia="宋体" w:cs="宋体"/>
                <w:kern w:val="0"/>
                <w:sz w:val="20"/>
                <w:szCs w:val="20"/>
              </w:rPr>
              <w:br w:type="textWrapping"/>
            </w:r>
            <w:r>
              <w:rPr>
                <w:rFonts w:hint="eastAsia" w:ascii="宋体" w:hAnsi="宋体" w:eastAsia="宋体" w:cs="宋体"/>
                <w:kern w:val="0"/>
                <w:sz w:val="20"/>
                <w:szCs w:val="20"/>
              </w:rPr>
              <w:t>②最新世界大学排名榜单（</w:t>
            </w:r>
            <w:r>
              <w:rPr>
                <w:rFonts w:hint="eastAsia" w:ascii="Times New Roman" w:hAnsi="Times New Roman" w:eastAsia="宋体" w:cs="宋体"/>
                <w:kern w:val="0"/>
                <w:sz w:val="20"/>
                <w:szCs w:val="20"/>
              </w:rPr>
              <w:t>QS</w:t>
            </w:r>
            <w:r>
              <w:rPr>
                <w:rFonts w:hint="eastAsia" w:ascii="宋体" w:hAnsi="宋体" w:eastAsia="宋体" w:cs="宋体"/>
                <w:kern w:val="0"/>
                <w:sz w:val="20"/>
                <w:szCs w:val="20"/>
              </w:rPr>
              <w:t>、</w:t>
            </w:r>
            <w:r>
              <w:rPr>
                <w:rFonts w:hint="eastAsia" w:ascii="Times New Roman" w:hAnsi="Times New Roman" w:eastAsia="宋体" w:cs="宋体"/>
                <w:kern w:val="0"/>
                <w:sz w:val="20"/>
                <w:szCs w:val="20"/>
              </w:rPr>
              <w:t>THE</w:t>
            </w:r>
            <w:r>
              <w:rPr>
                <w:rFonts w:hint="eastAsia" w:ascii="宋体" w:hAnsi="宋体" w:eastAsia="宋体" w:cs="宋体"/>
                <w:kern w:val="0"/>
                <w:sz w:val="20"/>
                <w:szCs w:val="20"/>
              </w:rPr>
              <w:t>、</w:t>
            </w:r>
            <w:r>
              <w:rPr>
                <w:rFonts w:hint="eastAsia" w:ascii="Times New Roman" w:hAnsi="Times New Roman" w:eastAsia="宋体" w:cs="宋体"/>
                <w:kern w:val="0"/>
                <w:sz w:val="20"/>
                <w:szCs w:val="20"/>
              </w:rPr>
              <w:t>U</w:t>
            </w:r>
            <w:r>
              <w:rPr>
                <w:rFonts w:hint="eastAsia" w:ascii="宋体" w:hAnsi="宋体" w:eastAsia="宋体" w:cs="宋体"/>
                <w:kern w:val="0"/>
                <w:sz w:val="20"/>
                <w:szCs w:val="20"/>
              </w:rPr>
              <w:t>.</w:t>
            </w:r>
            <w:r>
              <w:rPr>
                <w:rFonts w:hint="eastAsia" w:ascii="Times New Roman" w:hAnsi="Times New Roman" w:eastAsia="宋体" w:cs="宋体"/>
                <w:kern w:val="0"/>
                <w:sz w:val="20"/>
                <w:szCs w:val="20"/>
              </w:rPr>
              <w:t>S</w:t>
            </w:r>
            <w:r>
              <w:rPr>
                <w:rFonts w:hint="eastAsia" w:ascii="宋体" w:hAnsi="宋体" w:eastAsia="宋体" w:cs="宋体"/>
                <w:kern w:val="0"/>
                <w:sz w:val="20"/>
                <w:szCs w:val="20"/>
              </w:rPr>
              <w:t>.</w:t>
            </w:r>
            <w:r>
              <w:rPr>
                <w:rFonts w:hint="eastAsia" w:ascii="Times New Roman" w:hAnsi="Times New Roman" w:eastAsia="宋体" w:cs="宋体"/>
                <w:kern w:val="0"/>
                <w:sz w:val="20"/>
                <w:szCs w:val="20"/>
              </w:rPr>
              <w:t>NEWS</w:t>
            </w:r>
            <w:r>
              <w:rPr>
                <w:rFonts w:hint="eastAsia" w:ascii="宋体" w:hAnsi="宋体" w:eastAsia="宋体" w:cs="宋体"/>
                <w:kern w:val="0"/>
                <w:sz w:val="20"/>
                <w:szCs w:val="20"/>
              </w:rPr>
              <w:t>、</w:t>
            </w:r>
            <w:r>
              <w:rPr>
                <w:rFonts w:hint="eastAsia" w:ascii="Times New Roman" w:hAnsi="Times New Roman" w:eastAsia="宋体" w:cs="宋体"/>
                <w:kern w:val="0"/>
                <w:sz w:val="20"/>
                <w:szCs w:val="20"/>
              </w:rPr>
              <w:t>ARWU</w:t>
            </w:r>
            <w:r>
              <w:rPr>
                <w:rFonts w:hint="eastAsia" w:ascii="宋体" w:hAnsi="宋体" w:eastAsia="宋体" w:cs="宋体"/>
                <w:kern w:val="0"/>
                <w:sz w:val="20"/>
                <w:szCs w:val="20"/>
              </w:rPr>
              <w:t>、</w:t>
            </w:r>
            <w:r>
              <w:rPr>
                <w:rFonts w:hint="eastAsia" w:ascii="Times New Roman" w:hAnsi="Times New Roman" w:eastAsia="宋体" w:cs="宋体"/>
                <w:kern w:val="0"/>
                <w:sz w:val="20"/>
                <w:szCs w:val="20"/>
              </w:rPr>
              <w:t>CWUR</w:t>
            </w:r>
            <w:r>
              <w:rPr>
                <w:rFonts w:hint="eastAsia" w:ascii="宋体" w:hAnsi="宋体" w:eastAsia="宋体" w:cs="宋体"/>
                <w:kern w:val="0"/>
                <w:sz w:val="20"/>
                <w:szCs w:val="20"/>
              </w:rPr>
              <w:t>）前</w:t>
            </w:r>
            <w:r>
              <w:rPr>
                <w:rFonts w:hint="eastAsia" w:ascii="Times New Roman" w:hAnsi="Times New Roman" w:eastAsia="宋体" w:cs="宋体"/>
                <w:kern w:val="0"/>
                <w:sz w:val="20"/>
                <w:szCs w:val="20"/>
              </w:rPr>
              <w:t>100</w:t>
            </w:r>
            <w:r>
              <w:rPr>
                <w:rFonts w:hint="eastAsia" w:ascii="宋体" w:hAnsi="宋体" w:eastAsia="宋体" w:cs="宋体"/>
                <w:kern w:val="0"/>
                <w:sz w:val="20"/>
                <w:szCs w:val="20"/>
              </w:rPr>
              <w:t>名国（境）外高校</w:t>
            </w:r>
            <w:r>
              <w:rPr>
                <w:rFonts w:hint="eastAsia" w:ascii="宋体" w:hAnsi="宋体" w:eastAsia="宋体" w:cs="宋体"/>
                <w:kern w:val="0"/>
                <w:sz w:val="20"/>
                <w:szCs w:val="20"/>
                <w:lang w:eastAsia="zh-CN"/>
              </w:rPr>
              <w:t>；</w:t>
            </w:r>
            <w:r>
              <w:rPr>
                <w:rFonts w:hint="eastAsia" w:ascii="宋体" w:hAnsi="宋体" w:eastAsia="宋体" w:cs="宋体"/>
                <w:kern w:val="0"/>
                <w:sz w:val="20"/>
                <w:szCs w:val="20"/>
              </w:rPr>
              <w:br w:type="textWrapping"/>
            </w:r>
            <w:r>
              <w:rPr>
                <w:rFonts w:hint="eastAsia" w:ascii="宋体" w:hAnsi="宋体" w:eastAsia="宋体" w:cs="宋体"/>
                <w:kern w:val="0"/>
                <w:sz w:val="20"/>
                <w:szCs w:val="20"/>
              </w:rPr>
              <w:t>③第二轮“双一流”建设高校</w:t>
            </w:r>
            <w:r>
              <w:rPr>
                <w:rFonts w:hint="eastAsia" w:ascii="宋体" w:hAnsi="宋体" w:eastAsia="宋体" w:cs="宋体"/>
                <w:kern w:val="0"/>
                <w:sz w:val="20"/>
                <w:szCs w:val="20"/>
                <w:lang w:eastAsia="zh-CN"/>
              </w:rPr>
              <w:t>（</w:t>
            </w:r>
            <w:r>
              <w:rPr>
                <w:rFonts w:hint="eastAsia" w:ascii="宋体" w:hAnsi="宋体" w:eastAsia="宋体" w:cs="宋体"/>
                <w:kern w:val="0"/>
                <w:sz w:val="20"/>
                <w:szCs w:val="20"/>
                <w:lang w:val="en-US" w:eastAsia="zh-CN"/>
              </w:rPr>
              <w:t>专业须为一流学科</w:t>
            </w:r>
            <w:r>
              <w:rPr>
                <w:rFonts w:hint="eastAsia" w:ascii="宋体" w:hAnsi="宋体" w:eastAsia="宋体" w:cs="宋体"/>
                <w:kern w:val="0"/>
                <w:sz w:val="20"/>
                <w:szCs w:val="20"/>
                <w:lang w:eastAsia="zh-CN"/>
              </w:rPr>
              <w:t>）</w:t>
            </w:r>
            <w:r>
              <w:rPr>
                <w:rFonts w:hint="eastAsia" w:ascii="宋体" w:hAnsi="宋体" w:eastAsia="宋体" w:cs="宋体"/>
                <w:kern w:val="0"/>
                <w:sz w:val="20"/>
                <w:szCs w:val="20"/>
              </w:rPr>
              <w:t>。</w:t>
            </w:r>
          </w:p>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lang w:val="en-US" w:eastAsia="zh-CN"/>
              </w:rPr>
              <w:t>2.本科生毕业院校须为C9重点高校。</w:t>
            </w:r>
            <w:r>
              <w:rPr>
                <w:rFonts w:hint="eastAsia" w:ascii="宋体" w:hAnsi="宋体" w:eastAsia="宋体" w:cs="宋体"/>
                <w:kern w:val="0"/>
                <w:sz w:val="20"/>
                <w:szCs w:val="20"/>
              </w:rPr>
              <w:br w:type="textWrapping"/>
            </w:r>
          </w:p>
        </w:tc>
        <w:tc>
          <w:tcPr>
            <w:tcW w:w="504" w:type="pct"/>
            <w:vMerge w:val="restart"/>
            <w:shd w:val="clear" w:color="auto" w:fill="auto"/>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报名网址：www.tzjob.com</w:t>
            </w:r>
            <w:r>
              <w:rPr>
                <w:rFonts w:hint="default" w:ascii="Times New Roman" w:hAnsi="Times New Roman" w:eastAsia="宋体" w:cs="Times New Roman"/>
                <w:kern w:val="0"/>
                <w:sz w:val="20"/>
                <w:szCs w:val="20"/>
              </w:rPr>
              <w:br w:type="textWrapping"/>
            </w:r>
            <w:r>
              <w:rPr>
                <w:rFonts w:hint="default" w:ascii="Times New Roman" w:hAnsi="Times New Roman" w:eastAsia="宋体" w:cs="Times New Roman"/>
                <w:kern w:val="0"/>
                <w:sz w:val="20"/>
                <w:szCs w:val="20"/>
              </w:rPr>
              <w:t>电子邮箱：tzgzwzzrsc@163.com</w:t>
            </w:r>
            <w:r>
              <w:rPr>
                <w:rFonts w:hint="default" w:ascii="Times New Roman" w:hAnsi="Times New Roman" w:eastAsia="宋体" w:cs="Times New Roman"/>
                <w:kern w:val="0"/>
                <w:sz w:val="20"/>
                <w:szCs w:val="20"/>
              </w:rPr>
              <w:br w:type="textWrapping"/>
            </w:r>
            <w:r>
              <w:rPr>
                <w:rFonts w:hint="default" w:ascii="Times New Roman" w:hAnsi="Times New Roman" w:eastAsia="宋体" w:cs="Times New Roman"/>
                <w:kern w:val="0"/>
                <w:sz w:val="20"/>
                <w:szCs w:val="20"/>
              </w:rPr>
              <w:t>咨询电话：0523</w:t>
            </w:r>
            <w:r>
              <w:rPr>
                <w:rFonts w:hint="default" w:ascii="Times New Roman" w:hAnsi="Times New Roman" w:eastAsia="宋体" w:cs="Times New Roman"/>
                <w:kern w:val="0"/>
                <w:sz w:val="20"/>
                <w:szCs w:val="20"/>
                <w:lang w:val="en-US" w:eastAsia="zh-CN"/>
              </w:rPr>
              <w:t>-</w:t>
            </w:r>
            <w:r>
              <w:rPr>
                <w:rFonts w:hint="default" w:ascii="Times New Roman" w:hAnsi="Times New Roman" w:eastAsia="宋体" w:cs="Times New Roman"/>
                <w:kern w:val="0"/>
                <w:sz w:val="20"/>
                <w:szCs w:val="20"/>
              </w:rPr>
              <w:t>86192936</w:t>
            </w:r>
          </w:p>
        </w:tc>
        <w:tc>
          <w:tcPr>
            <w:tcW w:w="182" w:type="pct"/>
            <w:vMerge w:val="restar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Times New Roman" w:hAnsi="Times New Roman" w:eastAsia="宋体" w:cs="宋体"/>
                <w:kern w:val="0"/>
                <w:sz w:val="20"/>
                <w:szCs w:val="20"/>
              </w:rPr>
              <w:t>2</w:t>
            </w:r>
          </w:p>
        </w:tc>
        <w:tc>
          <w:tcPr>
            <w:tcW w:w="275" w:type="pct"/>
            <w:vMerge w:val="restar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结构化面谈</w:t>
            </w:r>
            <w:r>
              <w:rPr>
                <w:rFonts w:ascii="Times New Roman" w:hAnsi="Times New Roman" w:eastAsia="宋体" w:cs="Times New Roman"/>
                <w:kern w:val="0"/>
                <w:sz w:val="20"/>
                <w:szCs w:val="20"/>
              </w:rPr>
              <w:t>+</w:t>
            </w:r>
            <w:r>
              <w:rPr>
                <w:rFonts w:hint="eastAsia" w:ascii="宋体" w:hAnsi="宋体" w:eastAsia="宋体" w:cs="宋体"/>
                <w:kern w:val="0"/>
                <w:sz w:val="20"/>
                <w:szCs w:val="20"/>
              </w:rPr>
              <w:t>无领导小组讨论</w:t>
            </w:r>
          </w:p>
        </w:tc>
        <w:tc>
          <w:tcPr>
            <w:tcW w:w="572" w:type="pct"/>
            <w:vMerge w:val="restart"/>
            <w:shd w:val="clear" w:color="auto" w:fill="auto"/>
            <w:tcMar>
              <w:top w:w="28" w:type="dxa"/>
              <w:left w:w="57" w:type="dxa"/>
              <w:bottom w:w="28" w:type="dxa"/>
              <w:right w:w="57" w:type="dxa"/>
            </w:tcMar>
            <w:vAlign w:val="center"/>
          </w:tcPr>
          <w:p>
            <w:pPr>
              <w:widowControl/>
              <w:spacing w:line="240" w:lineRule="exact"/>
              <w:jc w:val="left"/>
              <w:rPr>
                <w:rFonts w:ascii="宋体" w:hAnsi="宋体" w:eastAsia="宋体" w:cs="宋体"/>
                <w:color w:val="000000"/>
                <w:kern w:val="0"/>
                <w:sz w:val="20"/>
                <w:szCs w:val="20"/>
              </w:rPr>
            </w:pPr>
            <w:r>
              <w:rPr>
                <w:rFonts w:hint="eastAsia" w:ascii="Times New Roman" w:hAnsi="Times New Roman" w:eastAsia="宋体" w:cs="宋体"/>
                <w:color w:val="000000"/>
                <w:kern w:val="0"/>
                <w:sz w:val="20"/>
                <w:szCs w:val="20"/>
              </w:rPr>
              <w:t>1</w:t>
            </w:r>
            <w:r>
              <w:rPr>
                <w:rFonts w:hint="eastAsia" w:ascii="宋体" w:hAnsi="宋体" w:eastAsia="宋体" w:cs="宋体"/>
                <w:color w:val="000000"/>
                <w:kern w:val="0"/>
                <w:sz w:val="20"/>
                <w:szCs w:val="20"/>
              </w:rPr>
              <w:t>.工作前</w:t>
            </w:r>
            <w:r>
              <w:rPr>
                <w:rFonts w:ascii="Times New Roman" w:hAnsi="Times New Roman" w:eastAsia="宋体" w:cs="Times New Roman"/>
                <w:color w:val="000000"/>
                <w:kern w:val="0"/>
                <w:sz w:val="20"/>
                <w:szCs w:val="20"/>
              </w:rPr>
              <w:t>3</w:t>
            </w:r>
            <w:r>
              <w:rPr>
                <w:rFonts w:hint="eastAsia" w:ascii="宋体" w:hAnsi="宋体" w:eastAsia="宋体" w:cs="宋体"/>
                <w:color w:val="000000"/>
                <w:kern w:val="0"/>
                <w:sz w:val="20"/>
                <w:szCs w:val="20"/>
              </w:rPr>
              <w:t>年为培养锻炼期，培养锻炼期薪酬待遇一般高于</w:t>
            </w:r>
            <w:r>
              <w:rPr>
                <w:rFonts w:hint="eastAsia" w:ascii="宋体" w:hAnsi="宋体" w:eastAsia="宋体" w:cs="宋体"/>
                <w:color w:val="000000"/>
                <w:kern w:val="0"/>
                <w:sz w:val="20"/>
                <w:szCs w:val="20"/>
                <w:lang w:val="en-US" w:eastAsia="zh-CN"/>
              </w:rPr>
              <w:t>市本级</w:t>
            </w:r>
            <w:r>
              <w:rPr>
                <w:rFonts w:hint="eastAsia" w:ascii="宋体" w:hAnsi="宋体" w:eastAsia="宋体" w:cs="宋体"/>
                <w:color w:val="000000"/>
                <w:kern w:val="0"/>
                <w:sz w:val="20"/>
                <w:szCs w:val="20"/>
              </w:rPr>
              <w:t>同</w:t>
            </w:r>
            <w:r>
              <w:rPr>
                <w:rFonts w:hint="eastAsia" w:ascii="宋体" w:hAnsi="宋体" w:eastAsia="宋体" w:cs="宋体"/>
                <w:color w:val="000000"/>
                <w:kern w:val="0"/>
                <w:sz w:val="20"/>
                <w:szCs w:val="20"/>
                <w:lang w:val="en-US" w:eastAsia="zh-CN"/>
              </w:rPr>
              <w:t>类</w:t>
            </w:r>
            <w:r>
              <w:rPr>
                <w:rFonts w:hint="eastAsia" w:ascii="宋体" w:hAnsi="宋体" w:eastAsia="宋体" w:cs="宋体"/>
                <w:color w:val="000000"/>
                <w:kern w:val="0"/>
                <w:sz w:val="20"/>
                <w:szCs w:val="20"/>
              </w:rPr>
              <w:t>事业人员</w:t>
            </w:r>
            <w:r>
              <w:rPr>
                <w:rFonts w:ascii="Times New Roman" w:hAnsi="Times New Roman" w:eastAsia="宋体" w:cs="Times New Roman"/>
                <w:color w:val="000000"/>
                <w:kern w:val="0"/>
                <w:sz w:val="20"/>
                <w:szCs w:val="20"/>
              </w:rPr>
              <w:t>30%</w:t>
            </w:r>
            <w:r>
              <w:rPr>
                <w:rFonts w:hint="eastAsia" w:ascii="宋体" w:hAnsi="宋体" w:eastAsia="宋体" w:cs="宋体"/>
                <w:color w:val="000000"/>
                <w:kern w:val="0"/>
                <w:sz w:val="20"/>
                <w:szCs w:val="20"/>
              </w:rPr>
              <w:t>，培养锻炼期满后按照聘任岗位领取薪酬。</w:t>
            </w:r>
            <w:r>
              <w:rPr>
                <w:rFonts w:hint="eastAsia" w:ascii="宋体" w:hAnsi="宋体" w:eastAsia="宋体" w:cs="宋体"/>
                <w:color w:val="000000"/>
                <w:kern w:val="0"/>
                <w:sz w:val="20"/>
                <w:szCs w:val="20"/>
              </w:rPr>
              <w:br w:type="textWrapping"/>
            </w:r>
            <w:r>
              <w:rPr>
                <w:rFonts w:hint="eastAsia" w:ascii="Times New Roman" w:hAnsi="Times New Roman" w:eastAsia="宋体" w:cs="宋体"/>
                <w:color w:val="000000"/>
                <w:kern w:val="0"/>
                <w:sz w:val="20"/>
                <w:szCs w:val="20"/>
              </w:rPr>
              <w:t>2</w:t>
            </w:r>
            <w:r>
              <w:rPr>
                <w:rFonts w:hint="eastAsia" w:ascii="宋体" w:hAnsi="宋体" w:eastAsia="宋体" w:cs="宋体"/>
                <w:color w:val="000000"/>
                <w:kern w:val="0"/>
                <w:sz w:val="20"/>
                <w:szCs w:val="20"/>
              </w:rPr>
              <w:t>.可申请享受企业引进高层次人才相关</w:t>
            </w:r>
            <w:r>
              <w:rPr>
                <w:rFonts w:hint="eastAsia" w:ascii="宋体" w:hAnsi="宋体" w:eastAsia="宋体" w:cs="宋体"/>
                <w:color w:val="000000"/>
                <w:kern w:val="0"/>
                <w:sz w:val="20"/>
                <w:szCs w:val="20"/>
                <w:lang w:val="en-US" w:eastAsia="zh-CN"/>
              </w:rPr>
              <w:t>补贴</w:t>
            </w:r>
            <w:r>
              <w:rPr>
                <w:rFonts w:hint="eastAsia" w:ascii="宋体" w:hAnsi="宋体" w:eastAsia="宋体" w:cs="宋体"/>
                <w:color w:val="000000"/>
                <w:kern w:val="0"/>
                <w:sz w:val="20"/>
                <w:szCs w:val="20"/>
              </w:rPr>
              <w:t>待遇。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275"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泰州市</w:t>
            </w:r>
          </w:p>
        </w:tc>
        <w:tc>
          <w:tcPr>
            <w:tcW w:w="21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1B</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泰州市属国有企业</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财务审计类</w:t>
            </w:r>
          </w:p>
        </w:tc>
        <w:tc>
          <w:tcPr>
            <w:tcW w:w="229"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1B-2</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轮岗</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hint="eastAsia" w:ascii="Times New Roman" w:hAnsi="Times New Roman" w:eastAsia="宋体" w:cs="Times New Roman"/>
                <w:color w:val="000000"/>
                <w:kern w:val="0"/>
                <w:sz w:val="20"/>
                <w:szCs w:val="20"/>
                <w:lang w:val="en-US" w:eastAsia="zh-CN"/>
              </w:rPr>
            </w:pPr>
            <w:r>
              <w:rPr>
                <w:rFonts w:hint="eastAsia" w:ascii="Times New Roman" w:hAnsi="Times New Roman" w:eastAsia="宋体" w:cs="Times New Roman"/>
                <w:color w:val="000000"/>
                <w:kern w:val="0"/>
                <w:sz w:val="20"/>
                <w:szCs w:val="20"/>
                <w:lang w:val="en-US" w:eastAsia="zh-CN"/>
              </w:rPr>
              <w:t>7</w:t>
            </w:r>
          </w:p>
        </w:tc>
        <w:tc>
          <w:tcPr>
            <w:tcW w:w="365"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Times New Roman" w:hAnsi="Times New Roman" w:eastAsia="宋体" w:cs="Times New Roman"/>
                <w:kern w:val="0"/>
                <w:sz w:val="20"/>
                <w:szCs w:val="20"/>
                <w:lang w:val="en-US" w:eastAsia="zh-CN"/>
              </w:rPr>
              <w:t>硕士研究生及以上或C9本科</w:t>
            </w:r>
          </w:p>
        </w:tc>
        <w:tc>
          <w:tcPr>
            <w:tcW w:w="687" w:type="pct"/>
            <w:shd w:val="clear" w:color="auto" w:fill="auto"/>
            <w:tcMar>
              <w:top w:w="28" w:type="dxa"/>
              <w:left w:w="57" w:type="dxa"/>
              <w:bottom w:w="28" w:type="dxa"/>
              <w:right w:w="57" w:type="dxa"/>
            </w:tcMar>
            <w:vAlign w:val="center"/>
          </w:tcPr>
          <w:p>
            <w:pPr>
              <w:widowControl/>
              <w:spacing w:line="240" w:lineRule="exact"/>
              <w:jc w:val="both"/>
              <w:rPr>
                <w:rFonts w:ascii="宋体" w:hAnsi="宋体" w:eastAsia="宋体" w:cs="宋体"/>
                <w:color w:val="000000"/>
                <w:kern w:val="0"/>
                <w:sz w:val="20"/>
                <w:szCs w:val="20"/>
              </w:rPr>
            </w:pPr>
            <w:r>
              <w:rPr>
                <w:rFonts w:hint="eastAsia" w:ascii="宋体" w:hAnsi="宋体" w:eastAsia="宋体" w:cs="宋体"/>
                <w:color w:val="000000"/>
                <w:kern w:val="0"/>
                <w:sz w:val="20"/>
                <w:szCs w:val="20"/>
              </w:rPr>
              <w:t>财务财会类、审计类、经济类</w:t>
            </w:r>
          </w:p>
        </w:tc>
        <w:tc>
          <w:tcPr>
            <w:tcW w:w="689"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504" w:type="pct"/>
            <w:vMerge w:val="continue"/>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kern w:val="0"/>
                <w:sz w:val="20"/>
                <w:szCs w:val="20"/>
              </w:rPr>
            </w:pPr>
          </w:p>
        </w:tc>
        <w:tc>
          <w:tcPr>
            <w:tcW w:w="182"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275"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572"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color w:val="000000"/>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275"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泰州市</w:t>
            </w:r>
          </w:p>
        </w:tc>
        <w:tc>
          <w:tcPr>
            <w:tcW w:w="21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1B</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泰州市属国有企业</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工程管理类</w:t>
            </w:r>
          </w:p>
        </w:tc>
        <w:tc>
          <w:tcPr>
            <w:tcW w:w="229"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1B-3</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轮岗</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6</w:t>
            </w:r>
          </w:p>
        </w:tc>
        <w:tc>
          <w:tcPr>
            <w:tcW w:w="365"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Times New Roman" w:hAnsi="Times New Roman" w:eastAsia="宋体" w:cs="Times New Roman"/>
                <w:kern w:val="0"/>
                <w:sz w:val="20"/>
                <w:szCs w:val="20"/>
                <w:lang w:val="en-US" w:eastAsia="zh-CN"/>
              </w:rPr>
              <w:t>硕士研究生及以上或C9本科</w:t>
            </w:r>
          </w:p>
        </w:tc>
        <w:tc>
          <w:tcPr>
            <w:tcW w:w="687" w:type="pct"/>
            <w:shd w:val="clear" w:color="auto" w:fill="auto"/>
            <w:tcMar>
              <w:top w:w="28" w:type="dxa"/>
              <w:left w:w="57" w:type="dxa"/>
              <w:bottom w:w="28" w:type="dxa"/>
              <w:right w:w="57" w:type="dxa"/>
            </w:tcMar>
            <w:vAlign w:val="center"/>
          </w:tcPr>
          <w:p>
            <w:pPr>
              <w:widowControl/>
              <w:spacing w:line="240" w:lineRule="exact"/>
              <w:jc w:val="both"/>
              <w:rPr>
                <w:rFonts w:ascii="宋体" w:hAnsi="宋体" w:eastAsia="宋体" w:cs="宋体"/>
                <w:color w:val="000000"/>
                <w:kern w:val="0"/>
                <w:sz w:val="20"/>
                <w:szCs w:val="20"/>
              </w:rPr>
            </w:pPr>
            <w:r>
              <w:rPr>
                <w:rFonts w:hint="eastAsia" w:ascii="宋体" w:hAnsi="宋体" w:eastAsia="宋体" w:cs="宋体"/>
                <w:color w:val="000000"/>
                <w:kern w:val="0"/>
                <w:sz w:val="20"/>
                <w:szCs w:val="20"/>
              </w:rPr>
              <w:t>交通工程类、航道港口类、建筑工程类</w:t>
            </w:r>
          </w:p>
        </w:tc>
        <w:tc>
          <w:tcPr>
            <w:tcW w:w="689"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504" w:type="pct"/>
            <w:vMerge w:val="continue"/>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kern w:val="0"/>
                <w:sz w:val="20"/>
                <w:szCs w:val="20"/>
              </w:rPr>
            </w:pPr>
          </w:p>
        </w:tc>
        <w:tc>
          <w:tcPr>
            <w:tcW w:w="182"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275"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572"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color w:val="000000"/>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275"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泰州市</w:t>
            </w:r>
          </w:p>
        </w:tc>
        <w:tc>
          <w:tcPr>
            <w:tcW w:w="21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1B</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泰州市属国有企业</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法律法务类</w:t>
            </w:r>
          </w:p>
        </w:tc>
        <w:tc>
          <w:tcPr>
            <w:tcW w:w="229"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1B-4</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轮岗</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4</w:t>
            </w:r>
          </w:p>
        </w:tc>
        <w:tc>
          <w:tcPr>
            <w:tcW w:w="365"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Times New Roman" w:hAnsi="Times New Roman" w:eastAsia="宋体" w:cs="Times New Roman"/>
                <w:kern w:val="0"/>
                <w:sz w:val="20"/>
                <w:szCs w:val="20"/>
                <w:lang w:val="en-US" w:eastAsia="zh-CN"/>
              </w:rPr>
              <w:t>硕士研究生及以上或C9本科</w:t>
            </w:r>
          </w:p>
        </w:tc>
        <w:tc>
          <w:tcPr>
            <w:tcW w:w="687"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法律类</w:t>
            </w:r>
          </w:p>
        </w:tc>
        <w:tc>
          <w:tcPr>
            <w:tcW w:w="689"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504" w:type="pct"/>
            <w:vMerge w:val="continue"/>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kern w:val="0"/>
                <w:sz w:val="20"/>
                <w:szCs w:val="20"/>
              </w:rPr>
            </w:pPr>
          </w:p>
        </w:tc>
        <w:tc>
          <w:tcPr>
            <w:tcW w:w="182"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275"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572"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color w:val="000000"/>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275"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泰州市</w:t>
            </w:r>
          </w:p>
        </w:tc>
        <w:tc>
          <w:tcPr>
            <w:tcW w:w="21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1B</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泰州市属国有企业</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信息技术类</w:t>
            </w:r>
          </w:p>
        </w:tc>
        <w:tc>
          <w:tcPr>
            <w:tcW w:w="229"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1B-5</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轮岗</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3</w:t>
            </w:r>
          </w:p>
        </w:tc>
        <w:tc>
          <w:tcPr>
            <w:tcW w:w="365"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Times New Roman" w:hAnsi="Times New Roman" w:eastAsia="宋体" w:cs="Times New Roman"/>
                <w:kern w:val="0"/>
                <w:sz w:val="20"/>
                <w:szCs w:val="20"/>
                <w:lang w:val="en-US" w:eastAsia="zh-CN"/>
              </w:rPr>
              <w:t>硕士研究生及以上或C9本科</w:t>
            </w:r>
          </w:p>
        </w:tc>
        <w:tc>
          <w:tcPr>
            <w:tcW w:w="687" w:type="pct"/>
            <w:shd w:val="clear" w:color="auto" w:fill="auto"/>
            <w:tcMar>
              <w:top w:w="28" w:type="dxa"/>
              <w:left w:w="57" w:type="dxa"/>
              <w:bottom w:w="28" w:type="dxa"/>
              <w:right w:w="57" w:type="dxa"/>
            </w:tcMar>
            <w:vAlign w:val="center"/>
          </w:tcPr>
          <w:p>
            <w:pPr>
              <w:widowControl/>
              <w:spacing w:line="240" w:lineRule="exact"/>
              <w:jc w:val="both"/>
              <w:rPr>
                <w:rFonts w:ascii="宋体" w:hAnsi="宋体" w:eastAsia="宋体" w:cs="宋体"/>
                <w:color w:val="000000"/>
                <w:kern w:val="0"/>
                <w:sz w:val="20"/>
                <w:szCs w:val="20"/>
              </w:rPr>
            </w:pPr>
            <w:r>
              <w:rPr>
                <w:rFonts w:hint="eastAsia" w:ascii="宋体" w:hAnsi="宋体" w:eastAsia="宋体" w:cs="宋体"/>
                <w:color w:val="000000"/>
                <w:kern w:val="0"/>
                <w:sz w:val="20"/>
                <w:szCs w:val="20"/>
              </w:rPr>
              <w:t>计算机类、计算机（软件）类、计算机</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rPr>
              <w:t>网络管理</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rPr>
              <w:t>类、电子信息类</w:t>
            </w:r>
          </w:p>
        </w:tc>
        <w:tc>
          <w:tcPr>
            <w:tcW w:w="689"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504" w:type="pct"/>
            <w:vMerge w:val="continue"/>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kern w:val="0"/>
                <w:sz w:val="20"/>
                <w:szCs w:val="20"/>
              </w:rPr>
            </w:pPr>
          </w:p>
        </w:tc>
        <w:tc>
          <w:tcPr>
            <w:tcW w:w="182"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275"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572"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color w:val="000000"/>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275"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泰州市</w:t>
            </w:r>
          </w:p>
        </w:tc>
        <w:tc>
          <w:tcPr>
            <w:tcW w:w="21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1B</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泰州市属国有企业</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行政管理类</w:t>
            </w:r>
          </w:p>
        </w:tc>
        <w:tc>
          <w:tcPr>
            <w:tcW w:w="229"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1B-6</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轮岗</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hint="eastAsia" w:ascii="Times New Roman" w:hAnsi="Times New Roman" w:eastAsia="宋体" w:cs="Times New Roman"/>
                <w:color w:val="000000"/>
                <w:kern w:val="0"/>
                <w:sz w:val="20"/>
                <w:szCs w:val="20"/>
                <w:lang w:val="en-US" w:eastAsia="zh-CN"/>
              </w:rPr>
            </w:pPr>
            <w:r>
              <w:rPr>
                <w:rFonts w:hint="eastAsia" w:ascii="Times New Roman" w:hAnsi="Times New Roman" w:eastAsia="宋体" w:cs="Times New Roman"/>
                <w:color w:val="000000"/>
                <w:kern w:val="0"/>
                <w:sz w:val="20"/>
                <w:szCs w:val="20"/>
                <w:lang w:val="en-US" w:eastAsia="zh-CN"/>
              </w:rPr>
              <w:t>3</w:t>
            </w:r>
          </w:p>
        </w:tc>
        <w:tc>
          <w:tcPr>
            <w:tcW w:w="365"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Times New Roman" w:hAnsi="Times New Roman" w:eastAsia="宋体" w:cs="Times New Roman"/>
                <w:kern w:val="0"/>
                <w:sz w:val="20"/>
                <w:szCs w:val="20"/>
                <w:lang w:val="en-US" w:eastAsia="zh-CN"/>
              </w:rPr>
              <w:t>硕士研究生及以上或C9本科</w:t>
            </w:r>
          </w:p>
        </w:tc>
        <w:tc>
          <w:tcPr>
            <w:tcW w:w="687" w:type="pct"/>
            <w:shd w:val="clear" w:color="auto" w:fill="auto"/>
            <w:tcMar>
              <w:top w:w="28" w:type="dxa"/>
              <w:left w:w="57" w:type="dxa"/>
              <w:bottom w:w="28" w:type="dxa"/>
              <w:right w:w="57" w:type="dxa"/>
            </w:tcMar>
            <w:vAlign w:val="center"/>
          </w:tcPr>
          <w:p>
            <w:pPr>
              <w:widowControl/>
              <w:spacing w:line="240" w:lineRule="exact"/>
              <w:jc w:val="both"/>
              <w:rPr>
                <w:rFonts w:ascii="宋体" w:hAnsi="宋体" w:eastAsia="宋体" w:cs="宋体"/>
                <w:color w:val="000000"/>
                <w:kern w:val="0"/>
                <w:sz w:val="20"/>
                <w:szCs w:val="20"/>
              </w:rPr>
            </w:pPr>
            <w:r>
              <w:rPr>
                <w:rFonts w:hint="eastAsia" w:ascii="宋体" w:hAnsi="宋体" w:eastAsia="宋体" w:cs="宋体"/>
                <w:color w:val="000000"/>
                <w:kern w:val="0"/>
                <w:sz w:val="20"/>
                <w:szCs w:val="20"/>
              </w:rPr>
              <w:t>中文文秘类、公共管理类、工商管理类</w:t>
            </w:r>
          </w:p>
        </w:tc>
        <w:tc>
          <w:tcPr>
            <w:tcW w:w="689"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504" w:type="pct"/>
            <w:vMerge w:val="continue"/>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kern w:val="0"/>
                <w:sz w:val="20"/>
                <w:szCs w:val="20"/>
              </w:rPr>
            </w:pPr>
          </w:p>
        </w:tc>
        <w:tc>
          <w:tcPr>
            <w:tcW w:w="182"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275"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572"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color w:val="000000"/>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275"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泰州市</w:t>
            </w:r>
          </w:p>
        </w:tc>
        <w:tc>
          <w:tcPr>
            <w:tcW w:w="21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1B</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泰州市属国有企业</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农学类</w:t>
            </w:r>
          </w:p>
        </w:tc>
        <w:tc>
          <w:tcPr>
            <w:tcW w:w="229"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1B-7</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轮岗</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w:t>
            </w:r>
          </w:p>
        </w:tc>
        <w:tc>
          <w:tcPr>
            <w:tcW w:w="365"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Times New Roman" w:hAnsi="Times New Roman" w:eastAsia="宋体" w:cs="Times New Roman"/>
                <w:kern w:val="0"/>
                <w:sz w:val="20"/>
                <w:szCs w:val="20"/>
                <w:lang w:val="en-US" w:eastAsia="zh-CN"/>
              </w:rPr>
              <w:t>硕士研究生及以上或C9本科</w:t>
            </w:r>
          </w:p>
        </w:tc>
        <w:tc>
          <w:tcPr>
            <w:tcW w:w="687"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农业类</w:t>
            </w:r>
          </w:p>
        </w:tc>
        <w:tc>
          <w:tcPr>
            <w:tcW w:w="689"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504" w:type="pct"/>
            <w:vMerge w:val="continue"/>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kern w:val="0"/>
                <w:sz w:val="20"/>
                <w:szCs w:val="20"/>
              </w:rPr>
            </w:pPr>
          </w:p>
        </w:tc>
        <w:tc>
          <w:tcPr>
            <w:tcW w:w="182"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275"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572"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color w:val="000000"/>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275"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泰州市</w:t>
            </w:r>
          </w:p>
        </w:tc>
        <w:tc>
          <w:tcPr>
            <w:tcW w:w="21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1B</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泰州市属国有企业</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城乡规划建筑</w:t>
            </w:r>
          </w:p>
        </w:tc>
        <w:tc>
          <w:tcPr>
            <w:tcW w:w="229"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1B-8</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轮岗</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hint="eastAsia" w:ascii="Times New Roman" w:hAnsi="Times New Roman" w:eastAsia="宋体" w:cs="Times New Roman"/>
                <w:color w:val="000000"/>
                <w:kern w:val="0"/>
                <w:sz w:val="20"/>
                <w:szCs w:val="20"/>
                <w:lang w:val="en-US" w:eastAsia="zh-CN"/>
              </w:rPr>
            </w:pPr>
            <w:r>
              <w:rPr>
                <w:rFonts w:hint="eastAsia" w:ascii="Times New Roman" w:hAnsi="Times New Roman" w:eastAsia="宋体" w:cs="Times New Roman"/>
                <w:color w:val="000000"/>
                <w:kern w:val="0"/>
                <w:sz w:val="20"/>
                <w:szCs w:val="20"/>
                <w:lang w:val="en-US" w:eastAsia="zh-CN"/>
              </w:rPr>
              <w:t>2</w:t>
            </w:r>
          </w:p>
        </w:tc>
        <w:tc>
          <w:tcPr>
            <w:tcW w:w="365"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Times New Roman" w:hAnsi="Times New Roman" w:eastAsia="宋体" w:cs="Times New Roman"/>
                <w:kern w:val="0"/>
                <w:sz w:val="20"/>
                <w:szCs w:val="20"/>
                <w:lang w:val="en-US" w:eastAsia="zh-CN"/>
              </w:rPr>
              <w:t>硕士研究生及以上或C9本科</w:t>
            </w:r>
          </w:p>
        </w:tc>
        <w:tc>
          <w:tcPr>
            <w:tcW w:w="687" w:type="pct"/>
            <w:shd w:val="clear" w:color="auto" w:fill="auto"/>
            <w:tcMar>
              <w:top w:w="28" w:type="dxa"/>
              <w:left w:w="57" w:type="dxa"/>
              <w:bottom w:w="28" w:type="dxa"/>
              <w:right w:w="57" w:type="dxa"/>
            </w:tcMar>
            <w:vAlign w:val="center"/>
          </w:tcPr>
          <w:p>
            <w:pPr>
              <w:widowControl/>
              <w:spacing w:line="240" w:lineRule="exact"/>
              <w:jc w:val="both"/>
              <w:rPr>
                <w:rFonts w:ascii="宋体" w:hAnsi="宋体" w:eastAsia="宋体" w:cs="宋体"/>
                <w:color w:val="000000"/>
                <w:kern w:val="0"/>
                <w:sz w:val="20"/>
                <w:szCs w:val="20"/>
              </w:rPr>
            </w:pPr>
            <w:r>
              <w:rPr>
                <w:rFonts w:hint="eastAsia" w:ascii="宋体" w:hAnsi="宋体" w:eastAsia="宋体" w:cs="宋体"/>
                <w:color w:val="000000"/>
                <w:kern w:val="0"/>
                <w:sz w:val="20"/>
                <w:szCs w:val="20"/>
              </w:rPr>
              <w:t>土地管理类、城建规划类、建筑工程类</w:t>
            </w:r>
          </w:p>
        </w:tc>
        <w:tc>
          <w:tcPr>
            <w:tcW w:w="689"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504" w:type="pct"/>
            <w:vMerge w:val="continue"/>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kern w:val="0"/>
                <w:sz w:val="20"/>
                <w:szCs w:val="20"/>
              </w:rPr>
            </w:pPr>
          </w:p>
        </w:tc>
        <w:tc>
          <w:tcPr>
            <w:tcW w:w="182"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275"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572"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color w:val="000000"/>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6" w:hRule="atLeast"/>
          <w:jc w:val="center"/>
        </w:trPr>
        <w:tc>
          <w:tcPr>
            <w:tcW w:w="275"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泰兴市</w:t>
            </w:r>
          </w:p>
        </w:tc>
        <w:tc>
          <w:tcPr>
            <w:tcW w:w="21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2B</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Times New Roman"/>
                <w:color w:val="000000"/>
                <w:kern w:val="0"/>
                <w:sz w:val="20"/>
                <w:szCs w:val="20"/>
              </w:rPr>
            </w:pPr>
            <w:r>
              <w:rPr>
                <w:rFonts w:hint="eastAsia" w:ascii="宋体" w:hAnsi="宋体" w:eastAsia="宋体" w:cs="Times New Roman"/>
                <w:color w:val="000000"/>
                <w:kern w:val="0"/>
                <w:sz w:val="20"/>
                <w:szCs w:val="20"/>
              </w:rPr>
              <w:t>泰兴市</w:t>
            </w:r>
          </w:p>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交通产业（集团）有限公司</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法律类</w:t>
            </w:r>
          </w:p>
        </w:tc>
        <w:tc>
          <w:tcPr>
            <w:tcW w:w="229"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2B-1</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法务</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w:t>
            </w:r>
          </w:p>
        </w:tc>
        <w:tc>
          <w:tcPr>
            <w:tcW w:w="365"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本科及以上</w:t>
            </w:r>
          </w:p>
        </w:tc>
        <w:tc>
          <w:tcPr>
            <w:tcW w:w="687" w:type="pct"/>
            <w:shd w:val="clear" w:color="auto" w:fill="auto"/>
            <w:tcMar>
              <w:top w:w="28" w:type="dxa"/>
              <w:left w:w="57" w:type="dxa"/>
              <w:bottom w:w="28" w:type="dxa"/>
              <w:right w:w="57" w:type="dxa"/>
            </w:tcMar>
            <w:vAlign w:val="center"/>
          </w:tcPr>
          <w:p>
            <w:pPr>
              <w:widowControl/>
              <w:numPr>
                <w:ilvl w:val="0"/>
                <w:numId w:val="0"/>
              </w:numPr>
              <w:spacing w:line="22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bidi="ar-SA"/>
              </w:rPr>
              <w:t>法学，律师，民商法，法律，法学（法务金融），法学（法务会计），宪法学与行政法学，民商法学（含：劳动法学、社会保障法学），诉讼法，诉讼法学，经济法学，环境与资源保护法学，法律硕士，法律（法学），法律（非法学），法律硕士（法学），法律硕士（非法学），经济法</w:t>
            </w:r>
          </w:p>
        </w:tc>
        <w:tc>
          <w:tcPr>
            <w:tcW w:w="689" w:type="pct"/>
            <w:vMerge w:val="restart"/>
            <w:shd w:val="clear" w:color="auto" w:fill="auto"/>
            <w:tcMar>
              <w:top w:w="28" w:type="dxa"/>
              <w:left w:w="57" w:type="dxa"/>
              <w:bottom w:w="28" w:type="dxa"/>
              <w:right w:w="57" w:type="dxa"/>
            </w:tcMar>
            <w:vAlign w:val="center"/>
          </w:tcPr>
          <w:p>
            <w:pPr>
              <w:widowControl/>
              <w:spacing w:line="240" w:lineRule="exact"/>
              <w:jc w:val="left"/>
              <w:rPr>
                <w:rFonts w:hint="eastAsia" w:ascii="Times New Roman" w:hAnsi="Times New Roman" w:eastAsia="宋体" w:cs="Times New Roman"/>
                <w:kern w:val="0"/>
                <w:sz w:val="20"/>
                <w:szCs w:val="20"/>
              </w:rPr>
            </w:pPr>
            <w:r>
              <w:rPr>
                <w:rFonts w:hint="eastAsia" w:ascii="Times New Roman" w:hAnsi="Times New Roman" w:eastAsia="宋体" w:cs="Times New Roman"/>
                <w:kern w:val="0"/>
                <w:sz w:val="20"/>
                <w:szCs w:val="20"/>
              </w:rPr>
              <w:t>1.第一轮“一流大学”建设高校全日制本科及以上学历毕业生；</w:t>
            </w:r>
          </w:p>
          <w:p>
            <w:pPr>
              <w:widowControl/>
              <w:spacing w:line="240" w:lineRule="exact"/>
              <w:jc w:val="left"/>
              <w:rPr>
                <w:rFonts w:hint="eastAsia" w:ascii="Times New Roman" w:hAnsi="Times New Roman" w:eastAsia="宋体" w:cs="Times New Roman"/>
                <w:kern w:val="0"/>
                <w:sz w:val="20"/>
                <w:szCs w:val="20"/>
              </w:rPr>
            </w:pPr>
            <w:r>
              <w:rPr>
                <w:rFonts w:hint="eastAsia" w:ascii="Times New Roman" w:hAnsi="Times New Roman" w:eastAsia="宋体" w:cs="Times New Roman"/>
                <w:kern w:val="0"/>
                <w:sz w:val="20"/>
                <w:szCs w:val="20"/>
              </w:rPr>
              <w:t>2.第二轮“双一流”建设高校全日制硕士研究生及以上学历毕业生；</w:t>
            </w:r>
          </w:p>
          <w:p>
            <w:pPr>
              <w:widowControl/>
              <w:spacing w:line="240" w:lineRule="exact"/>
              <w:jc w:val="left"/>
              <w:rPr>
                <w:rFonts w:hint="eastAsia" w:ascii="Times New Roman" w:hAnsi="Times New Roman" w:eastAsia="宋体" w:cs="Times New Roman"/>
                <w:kern w:val="0"/>
                <w:sz w:val="20"/>
                <w:szCs w:val="20"/>
              </w:rPr>
            </w:pPr>
            <w:r>
              <w:rPr>
                <w:rFonts w:hint="eastAsia" w:ascii="Times New Roman" w:hAnsi="Times New Roman" w:eastAsia="宋体" w:cs="Times New Roman"/>
                <w:kern w:val="0"/>
                <w:sz w:val="20"/>
                <w:szCs w:val="20"/>
              </w:rPr>
              <w:t>3.最新世界大学排名榜单（QS、THE、U.S.NEWS、ARWU、CWUR）前100名国（境）外高校的全日制硕士研究生及以上学历毕业生；</w:t>
            </w:r>
          </w:p>
          <w:p>
            <w:pPr>
              <w:widowControl/>
              <w:spacing w:line="240" w:lineRule="exact"/>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4.法律类岗位须取得国家法律职业资格证书（A类）。</w:t>
            </w:r>
            <w:r>
              <w:rPr>
                <w:rFonts w:ascii="Times New Roman" w:hAnsi="Times New Roman" w:eastAsia="宋体" w:cs="Times New Roman"/>
                <w:kern w:val="0"/>
                <w:sz w:val="20"/>
                <w:szCs w:val="20"/>
              </w:rPr>
              <w:t>　</w:t>
            </w:r>
          </w:p>
        </w:tc>
        <w:tc>
          <w:tcPr>
            <w:tcW w:w="504" w:type="pct"/>
            <w:vMerge w:val="restart"/>
            <w:shd w:val="clear" w:color="auto" w:fill="auto"/>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报名网址：</w:t>
            </w:r>
            <w:r>
              <w:rPr>
                <w:rFonts w:hint="default" w:ascii="Times New Roman" w:hAnsi="Times New Roman" w:eastAsia="宋体" w:cs="Times New Roman"/>
                <w:color w:val="auto"/>
                <w:kern w:val="0"/>
                <w:sz w:val="20"/>
                <w:szCs w:val="20"/>
                <w:u w:val="none"/>
              </w:rPr>
              <w:fldChar w:fldCharType="begin"/>
            </w:r>
            <w:r>
              <w:rPr>
                <w:rFonts w:hint="default" w:ascii="Times New Roman" w:hAnsi="Times New Roman" w:eastAsia="宋体" w:cs="Times New Roman"/>
                <w:color w:val="auto"/>
                <w:kern w:val="0"/>
                <w:sz w:val="20"/>
                <w:szCs w:val="20"/>
                <w:u w:val="none"/>
              </w:rPr>
              <w:instrText xml:space="preserve"> HYPERLINK "http://www.tzjob.com" </w:instrText>
            </w:r>
            <w:r>
              <w:rPr>
                <w:rFonts w:hint="default" w:ascii="Times New Roman" w:hAnsi="Times New Roman" w:eastAsia="宋体" w:cs="Times New Roman"/>
                <w:color w:val="auto"/>
                <w:kern w:val="0"/>
                <w:sz w:val="20"/>
                <w:szCs w:val="20"/>
                <w:u w:val="none"/>
              </w:rPr>
              <w:fldChar w:fldCharType="separate"/>
            </w:r>
            <w:r>
              <w:rPr>
                <w:rStyle w:val="6"/>
                <w:rFonts w:hint="default" w:ascii="Times New Roman" w:hAnsi="Times New Roman" w:eastAsia="宋体" w:cs="Times New Roman"/>
                <w:color w:val="auto"/>
                <w:kern w:val="0"/>
                <w:sz w:val="20"/>
                <w:szCs w:val="20"/>
                <w:u w:val="none"/>
              </w:rPr>
              <w:t>www.tzjob.com</w:t>
            </w:r>
            <w:r>
              <w:rPr>
                <w:rFonts w:hint="default" w:ascii="Times New Roman" w:hAnsi="Times New Roman" w:eastAsia="宋体" w:cs="Times New Roman"/>
                <w:color w:val="auto"/>
                <w:kern w:val="0"/>
                <w:sz w:val="20"/>
                <w:szCs w:val="20"/>
                <w:u w:val="none"/>
              </w:rPr>
              <w:fldChar w:fldCharType="end"/>
            </w:r>
            <w:r>
              <w:rPr>
                <w:rFonts w:hint="default" w:ascii="Times New Roman" w:hAnsi="Times New Roman" w:eastAsia="宋体" w:cs="Times New Roman"/>
                <w:kern w:val="0"/>
                <w:sz w:val="20"/>
                <w:szCs w:val="20"/>
              </w:rPr>
              <w:t>电子邮箱：txzzbghb@126.com</w:t>
            </w:r>
          </w:p>
          <w:p>
            <w:pPr>
              <w:widowControl/>
              <w:spacing w:line="240" w:lineRule="exact"/>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咨询电话：</w:t>
            </w:r>
          </w:p>
          <w:p>
            <w:pPr>
              <w:widowControl/>
              <w:spacing w:line="240" w:lineRule="exact"/>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13512550991；</w:t>
            </w:r>
          </w:p>
          <w:p>
            <w:pPr>
              <w:widowControl/>
              <w:spacing w:line="240" w:lineRule="exact"/>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18994713397。</w:t>
            </w:r>
          </w:p>
        </w:tc>
        <w:tc>
          <w:tcPr>
            <w:tcW w:w="182" w:type="pct"/>
            <w:vMerge w:val="restar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275" w:type="pct"/>
            <w:vMerge w:val="restar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综评</w:t>
            </w:r>
            <w:r>
              <w:rPr>
                <w:rFonts w:ascii="Times New Roman" w:hAnsi="Times New Roman" w:eastAsia="宋体" w:cs="Times New Roman"/>
                <w:kern w:val="0"/>
                <w:sz w:val="20"/>
                <w:szCs w:val="20"/>
              </w:rPr>
              <w:t>+</w:t>
            </w:r>
            <w:r>
              <w:rPr>
                <w:rFonts w:hint="eastAsia" w:ascii="宋体" w:hAnsi="宋体" w:eastAsia="宋体" w:cs="Times New Roman"/>
                <w:kern w:val="0"/>
                <w:sz w:val="20"/>
                <w:szCs w:val="20"/>
              </w:rPr>
              <w:t>面试</w:t>
            </w:r>
          </w:p>
        </w:tc>
        <w:tc>
          <w:tcPr>
            <w:tcW w:w="572" w:type="pct"/>
            <w:vMerge w:val="restart"/>
            <w:shd w:val="clear" w:color="auto" w:fill="auto"/>
            <w:tcMar>
              <w:top w:w="28" w:type="dxa"/>
              <w:left w:w="57" w:type="dxa"/>
              <w:bottom w:w="28" w:type="dxa"/>
              <w:right w:w="57" w:type="dxa"/>
            </w:tcMar>
            <w:vAlign w:val="center"/>
          </w:tcPr>
          <w:p>
            <w:pPr>
              <w:widowControl/>
              <w:numPr>
                <w:ilvl w:val="0"/>
                <w:numId w:val="0"/>
              </w:numPr>
              <w:spacing w:line="240" w:lineRule="exact"/>
              <w:rPr>
                <w:rFonts w:hint="eastAsia" w:ascii="宋体" w:hAnsi="宋体" w:eastAsia="宋体" w:cs="Times New Roman"/>
                <w:color w:val="000000"/>
                <w:kern w:val="0"/>
                <w:sz w:val="20"/>
                <w:szCs w:val="20"/>
                <w:lang w:val="en-US" w:eastAsia="zh-CN" w:bidi="ar-SA"/>
              </w:rPr>
            </w:pPr>
            <w:r>
              <w:rPr>
                <w:rFonts w:hint="eastAsia" w:ascii="宋体" w:hAnsi="宋体" w:eastAsia="宋体" w:cs="Times New Roman"/>
                <w:color w:val="000000"/>
                <w:kern w:val="0"/>
                <w:sz w:val="20"/>
                <w:szCs w:val="20"/>
                <w:lang w:val="en-US" w:eastAsia="zh-CN" w:bidi="ar-SA"/>
              </w:rPr>
              <w:t>1.免费居住人才公寓（或给予租房补贴）3年；</w:t>
            </w:r>
          </w:p>
          <w:p>
            <w:pPr>
              <w:widowControl/>
              <w:numPr>
                <w:ilvl w:val="0"/>
                <w:numId w:val="0"/>
              </w:numPr>
              <w:spacing w:line="240" w:lineRule="exac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lang w:val="en-US" w:eastAsia="zh-CN" w:bidi="ar-SA"/>
              </w:rPr>
              <w:t>2.享受“购房券”待遇（博士研究生25万元；本科段学历为“双一流”高校的硕士研究生15万元；本科段学历为普通高校的硕士研究生11万元；“双一流”高校本科毕业生8万元）。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36" w:hRule="atLeast"/>
          <w:jc w:val="center"/>
        </w:trPr>
        <w:tc>
          <w:tcPr>
            <w:tcW w:w="275"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泰兴市</w:t>
            </w:r>
          </w:p>
        </w:tc>
        <w:tc>
          <w:tcPr>
            <w:tcW w:w="21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2B</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Times New Roman"/>
                <w:color w:val="000000"/>
                <w:kern w:val="0"/>
                <w:sz w:val="20"/>
                <w:szCs w:val="20"/>
              </w:rPr>
            </w:pPr>
            <w:r>
              <w:rPr>
                <w:rFonts w:hint="eastAsia" w:ascii="宋体" w:hAnsi="宋体" w:eastAsia="宋体" w:cs="Times New Roman"/>
                <w:color w:val="000000"/>
                <w:kern w:val="0"/>
                <w:sz w:val="20"/>
                <w:szCs w:val="20"/>
              </w:rPr>
              <w:t>泰兴市</w:t>
            </w:r>
          </w:p>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中兴国有资产经营投资集团有限公司</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计算机（软件）类</w:t>
            </w:r>
          </w:p>
        </w:tc>
        <w:tc>
          <w:tcPr>
            <w:tcW w:w="229"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2B-2</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数据运维</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w:t>
            </w:r>
          </w:p>
        </w:tc>
        <w:tc>
          <w:tcPr>
            <w:tcW w:w="365"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本科及以上</w:t>
            </w:r>
          </w:p>
        </w:tc>
        <w:tc>
          <w:tcPr>
            <w:tcW w:w="687" w:type="pct"/>
            <w:shd w:val="clear" w:color="auto" w:fill="auto"/>
            <w:tcMar>
              <w:top w:w="28" w:type="dxa"/>
              <w:left w:w="57" w:type="dxa"/>
              <w:bottom w:w="28" w:type="dxa"/>
              <w:right w:w="57" w:type="dxa"/>
            </w:tcMar>
            <w:vAlign w:val="center"/>
          </w:tcPr>
          <w:p>
            <w:pPr>
              <w:keepNext w:val="0"/>
              <w:keepLines w:val="0"/>
              <w:pageBreakBefore w:val="0"/>
              <w:widowControl/>
              <w:kinsoku/>
              <w:wordWrap/>
              <w:overflowPunct/>
              <w:topLinePunct w:val="0"/>
              <w:autoSpaceDE/>
              <w:autoSpaceDN/>
              <w:bidi w:val="0"/>
              <w:adjustRightInd/>
              <w:snapToGrid/>
              <w:spacing w:line="230" w:lineRule="exact"/>
              <w:textAlignment w:val="auto"/>
              <w:rPr>
                <w:rFonts w:ascii="宋体" w:hAnsi="宋体" w:eastAsia="宋体" w:cs="宋体"/>
                <w:color w:val="000000"/>
                <w:spacing w:val="-4"/>
                <w:kern w:val="0"/>
                <w:sz w:val="20"/>
                <w:szCs w:val="20"/>
              </w:rPr>
            </w:pPr>
            <w:r>
              <w:rPr>
                <w:rFonts w:hint="eastAsia" w:ascii="Times New Roman" w:hAnsi="Times New Roman" w:eastAsia="宋体" w:cs="宋体"/>
                <w:color w:val="000000"/>
                <w:spacing w:val="-11"/>
                <w:kern w:val="0"/>
                <w:sz w:val="20"/>
                <w:szCs w:val="20"/>
              </w:rPr>
              <w:t>计算机软件与理论，软件工程，计算机科学与技术，模式识别与智能系统，计算机应用技术，计算机系统结构</w:t>
            </w:r>
            <w:r>
              <w:rPr>
                <w:rFonts w:hint="eastAsia" w:ascii="Times New Roman" w:hAnsi="Times New Roman" w:eastAsia="宋体" w:cs="宋体"/>
                <w:color w:val="000000"/>
                <w:spacing w:val="-11"/>
                <w:kern w:val="0"/>
                <w:sz w:val="20"/>
                <w:szCs w:val="20"/>
                <w:lang w:eastAsia="zh-CN"/>
              </w:rPr>
              <w:t>，</w:t>
            </w:r>
            <w:r>
              <w:rPr>
                <w:rFonts w:hint="eastAsia" w:ascii="Times New Roman" w:hAnsi="Times New Roman" w:eastAsia="宋体" w:cs="宋体"/>
                <w:color w:val="000000"/>
                <w:spacing w:val="-11"/>
                <w:kern w:val="0"/>
                <w:sz w:val="20"/>
                <w:szCs w:val="20"/>
              </w:rPr>
              <w:t>计算机软件，计算机应用软件，信息与计算科学，信息管理与信息系统，数字媒体技术，信息技术应用与管理，软件工程技术，信息工程</w:t>
            </w:r>
          </w:p>
        </w:tc>
        <w:tc>
          <w:tcPr>
            <w:tcW w:w="689" w:type="pct"/>
            <w:vMerge w:val="continue"/>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504" w:type="pct"/>
            <w:vMerge w:val="continue"/>
            <w:shd w:val="clear" w:color="auto" w:fill="auto"/>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kern w:val="0"/>
                <w:sz w:val="20"/>
                <w:szCs w:val="20"/>
              </w:rPr>
            </w:pPr>
          </w:p>
        </w:tc>
        <w:tc>
          <w:tcPr>
            <w:tcW w:w="182" w:type="pct"/>
            <w:vMerge w:val="continue"/>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275" w:type="pct"/>
            <w:vMerge w:val="continue"/>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572" w:type="pct"/>
            <w:vMerge w:val="continue"/>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color w:val="000000"/>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072" w:hRule="atLeast"/>
          <w:jc w:val="center"/>
        </w:trPr>
        <w:tc>
          <w:tcPr>
            <w:tcW w:w="275"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泰兴市</w:t>
            </w:r>
          </w:p>
        </w:tc>
        <w:tc>
          <w:tcPr>
            <w:tcW w:w="21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2B</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Times New Roman"/>
                <w:color w:val="000000"/>
                <w:kern w:val="0"/>
                <w:sz w:val="20"/>
                <w:szCs w:val="20"/>
              </w:rPr>
            </w:pPr>
            <w:r>
              <w:rPr>
                <w:rFonts w:hint="eastAsia" w:ascii="宋体" w:hAnsi="宋体" w:eastAsia="宋体" w:cs="Times New Roman"/>
                <w:color w:val="000000"/>
                <w:kern w:val="0"/>
                <w:sz w:val="20"/>
                <w:szCs w:val="20"/>
              </w:rPr>
              <w:t>泰兴市</w:t>
            </w:r>
          </w:p>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工程集中建设项目管理有限公司</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建筑工程类</w:t>
            </w:r>
          </w:p>
        </w:tc>
        <w:tc>
          <w:tcPr>
            <w:tcW w:w="229"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2B-3</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工程管理</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w:t>
            </w:r>
          </w:p>
        </w:tc>
        <w:tc>
          <w:tcPr>
            <w:tcW w:w="365"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本科及以上</w:t>
            </w:r>
          </w:p>
        </w:tc>
        <w:tc>
          <w:tcPr>
            <w:tcW w:w="687" w:type="pct"/>
            <w:shd w:val="clear" w:color="auto" w:fill="auto"/>
            <w:tcMar>
              <w:top w:w="28" w:type="dxa"/>
              <w:left w:w="57" w:type="dxa"/>
              <w:bottom w:w="28" w:type="dxa"/>
              <w:right w:w="57" w:type="dxa"/>
            </w:tcMar>
            <w:vAlign w:val="center"/>
          </w:tcPr>
          <w:p>
            <w:pPr>
              <w:widowControl/>
              <w:numPr>
                <w:ilvl w:val="0"/>
                <w:numId w:val="0"/>
              </w:numPr>
              <w:spacing w:line="220" w:lineRule="exact"/>
              <w:rPr>
                <w:rFonts w:ascii="宋体" w:hAnsi="宋体" w:eastAsia="宋体" w:cs="宋体"/>
                <w:color w:val="000000"/>
                <w:kern w:val="0"/>
                <w:sz w:val="20"/>
                <w:szCs w:val="20"/>
              </w:rPr>
            </w:pPr>
            <w:r>
              <w:rPr>
                <w:rFonts w:hint="eastAsia" w:ascii="宋体" w:hAnsi="宋体" w:eastAsia="宋体" w:cs="宋体"/>
                <w:color w:val="000000"/>
                <w:spacing w:val="-6"/>
                <w:kern w:val="0"/>
                <w:sz w:val="20"/>
                <w:szCs w:val="20"/>
                <w:lang w:val="en-US" w:eastAsia="zh-CN" w:bidi="ar-SA"/>
              </w:rPr>
              <w:t>建筑学，建筑工程，土木工程，建筑环境与设备工程，给水排水工程，城市规划，水务工程，建筑设施智能技术，给排水科学与工程，建筑电气与智能化，道路桥梁与渡河工程，工程结构分析，建筑环境与能源应用工程，质量管理工程，工业与民用建筑，给水排水，给排水工程，工程管理，工程造价，工程造价管理，消防工程，城乡规划，水利水电工程，水利工程，智能建造工程，城市地下工程，建筑智能检测与修复，建筑环境与能源工程，建筑电气与智能化工程，建设工程管理，市政工程，城市设施智慧管理，人文地理与城乡规划，城乡规划学，城市规划与设计（含：风景园林规划与设计），建筑技术科学，岩土工程，结构工程，工程力学，防灾减灾工程及防护工程，桥梁与隧道工程，建筑与土木工程，土木水利，道路与铁道工程，水工结构工程</w:t>
            </w:r>
          </w:p>
        </w:tc>
        <w:tc>
          <w:tcPr>
            <w:tcW w:w="689" w:type="pct"/>
            <w:shd w:val="clear" w:color="auto" w:fill="auto"/>
            <w:tcMar>
              <w:top w:w="28" w:type="dxa"/>
              <w:left w:w="57" w:type="dxa"/>
              <w:bottom w:w="28" w:type="dxa"/>
              <w:right w:w="57" w:type="dxa"/>
            </w:tcMar>
            <w:vAlign w:val="center"/>
          </w:tcPr>
          <w:p>
            <w:pPr>
              <w:widowControl/>
              <w:spacing w:line="240" w:lineRule="exact"/>
              <w:jc w:val="both"/>
              <w:rPr>
                <w:rFonts w:hint="eastAsia" w:ascii="宋体" w:hAnsi="宋体" w:eastAsia="宋体" w:cs="宋体"/>
                <w:kern w:val="0"/>
                <w:sz w:val="20"/>
                <w:szCs w:val="20"/>
              </w:rPr>
            </w:pPr>
            <w:r>
              <w:rPr>
                <w:rFonts w:hint="eastAsia" w:ascii="宋体" w:hAnsi="宋体" w:eastAsia="宋体" w:cs="宋体"/>
                <w:kern w:val="0"/>
                <w:sz w:val="20"/>
                <w:szCs w:val="20"/>
              </w:rPr>
              <w:t>1.第一轮“一流大学”建设高校全日制本科及以上学历毕业生；</w:t>
            </w:r>
          </w:p>
          <w:p>
            <w:pPr>
              <w:widowControl/>
              <w:spacing w:line="240" w:lineRule="exact"/>
              <w:jc w:val="both"/>
              <w:rPr>
                <w:rFonts w:hint="eastAsia" w:ascii="宋体" w:hAnsi="宋体" w:eastAsia="宋体" w:cs="宋体"/>
                <w:kern w:val="0"/>
                <w:sz w:val="20"/>
                <w:szCs w:val="20"/>
              </w:rPr>
            </w:pPr>
            <w:r>
              <w:rPr>
                <w:rFonts w:hint="eastAsia" w:ascii="宋体" w:hAnsi="宋体" w:eastAsia="宋体" w:cs="宋体"/>
                <w:kern w:val="0"/>
                <w:sz w:val="20"/>
                <w:szCs w:val="20"/>
              </w:rPr>
              <w:t>2.第二轮“双一流”建设高校全日制硕士研究生及以上学历毕业生；</w:t>
            </w:r>
          </w:p>
          <w:p>
            <w:pPr>
              <w:widowControl/>
              <w:spacing w:line="240" w:lineRule="exact"/>
              <w:jc w:val="both"/>
              <w:rPr>
                <w:rFonts w:hint="eastAsia" w:ascii="宋体" w:hAnsi="宋体" w:eastAsia="宋体" w:cs="宋体"/>
                <w:kern w:val="0"/>
                <w:sz w:val="20"/>
                <w:szCs w:val="20"/>
              </w:rPr>
            </w:pPr>
            <w:r>
              <w:rPr>
                <w:rFonts w:hint="eastAsia" w:ascii="宋体" w:hAnsi="宋体" w:eastAsia="宋体" w:cs="宋体"/>
                <w:kern w:val="0"/>
                <w:sz w:val="20"/>
                <w:szCs w:val="20"/>
              </w:rPr>
              <w:t>3.最新世界大学排名榜单（QS、THE、U.S.NEWS、ARWU、CWUR）前100名国（境）外高校的全日制硕士研究生及以上学历毕业生；</w:t>
            </w:r>
          </w:p>
          <w:p>
            <w:pPr>
              <w:widowControl/>
              <w:spacing w:line="240" w:lineRule="exact"/>
              <w:jc w:val="both"/>
              <w:rPr>
                <w:rFonts w:ascii="宋体" w:hAnsi="宋体" w:eastAsia="宋体" w:cs="宋体"/>
                <w:kern w:val="0"/>
                <w:sz w:val="20"/>
                <w:szCs w:val="20"/>
              </w:rPr>
            </w:pPr>
            <w:r>
              <w:rPr>
                <w:rFonts w:hint="eastAsia" w:ascii="宋体" w:hAnsi="宋体" w:eastAsia="宋体" w:cs="宋体"/>
                <w:kern w:val="0"/>
                <w:sz w:val="20"/>
                <w:szCs w:val="20"/>
              </w:rPr>
              <w:t>4.适合男性。</w:t>
            </w:r>
          </w:p>
        </w:tc>
        <w:tc>
          <w:tcPr>
            <w:tcW w:w="504" w:type="pct"/>
            <w:shd w:val="clear" w:color="auto" w:fill="auto"/>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报名网址：</w:t>
            </w:r>
            <w:r>
              <w:rPr>
                <w:rFonts w:hint="default" w:ascii="Times New Roman" w:hAnsi="Times New Roman" w:eastAsia="宋体" w:cs="Times New Roman"/>
                <w:color w:val="auto"/>
                <w:kern w:val="0"/>
                <w:sz w:val="20"/>
                <w:szCs w:val="20"/>
                <w:u w:val="none"/>
              </w:rPr>
              <w:fldChar w:fldCharType="begin"/>
            </w:r>
            <w:r>
              <w:rPr>
                <w:rFonts w:hint="default" w:ascii="Times New Roman" w:hAnsi="Times New Roman" w:eastAsia="宋体" w:cs="Times New Roman"/>
                <w:color w:val="auto"/>
                <w:kern w:val="0"/>
                <w:sz w:val="20"/>
                <w:szCs w:val="20"/>
                <w:u w:val="none"/>
              </w:rPr>
              <w:instrText xml:space="preserve"> HYPERLINK "http://www.tzjob.com" </w:instrText>
            </w:r>
            <w:r>
              <w:rPr>
                <w:rFonts w:hint="default" w:ascii="Times New Roman" w:hAnsi="Times New Roman" w:eastAsia="宋体" w:cs="Times New Roman"/>
                <w:color w:val="auto"/>
                <w:kern w:val="0"/>
                <w:sz w:val="20"/>
                <w:szCs w:val="20"/>
                <w:u w:val="none"/>
              </w:rPr>
              <w:fldChar w:fldCharType="separate"/>
            </w:r>
            <w:r>
              <w:rPr>
                <w:rStyle w:val="6"/>
                <w:rFonts w:hint="default" w:ascii="Times New Roman" w:hAnsi="Times New Roman" w:eastAsia="宋体" w:cs="Times New Roman"/>
                <w:color w:val="auto"/>
                <w:kern w:val="0"/>
                <w:sz w:val="20"/>
                <w:szCs w:val="20"/>
                <w:u w:val="none"/>
              </w:rPr>
              <w:t>www.tzjob.com</w:t>
            </w:r>
            <w:r>
              <w:rPr>
                <w:rFonts w:hint="default" w:ascii="Times New Roman" w:hAnsi="Times New Roman" w:eastAsia="宋体" w:cs="Times New Roman"/>
                <w:color w:val="auto"/>
                <w:kern w:val="0"/>
                <w:sz w:val="20"/>
                <w:szCs w:val="20"/>
                <w:u w:val="none"/>
              </w:rPr>
              <w:fldChar w:fldCharType="end"/>
            </w:r>
            <w:r>
              <w:rPr>
                <w:rFonts w:hint="default" w:ascii="Times New Roman" w:hAnsi="Times New Roman" w:eastAsia="宋体" w:cs="Times New Roman"/>
                <w:kern w:val="0"/>
                <w:sz w:val="20"/>
                <w:szCs w:val="20"/>
              </w:rPr>
              <w:t>电子邮箱：txzzbghb@126.com</w:t>
            </w:r>
          </w:p>
          <w:p>
            <w:pPr>
              <w:widowControl/>
              <w:spacing w:line="240" w:lineRule="exact"/>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咨询电话：</w:t>
            </w:r>
          </w:p>
          <w:p>
            <w:pPr>
              <w:widowControl/>
              <w:spacing w:line="240" w:lineRule="exact"/>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13512550991；</w:t>
            </w:r>
          </w:p>
          <w:p>
            <w:pPr>
              <w:widowControl/>
              <w:spacing w:line="240" w:lineRule="exact"/>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18994713397。</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275"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综评</w:t>
            </w:r>
            <w:r>
              <w:rPr>
                <w:rFonts w:ascii="Times New Roman" w:hAnsi="Times New Roman" w:eastAsia="宋体" w:cs="Times New Roman"/>
                <w:kern w:val="0"/>
                <w:sz w:val="20"/>
                <w:szCs w:val="20"/>
              </w:rPr>
              <w:t>+</w:t>
            </w:r>
            <w:r>
              <w:rPr>
                <w:rFonts w:hint="eastAsia" w:ascii="宋体" w:hAnsi="宋体" w:eastAsia="宋体" w:cs="Times New Roman"/>
                <w:kern w:val="0"/>
                <w:sz w:val="20"/>
                <w:szCs w:val="20"/>
              </w:rPr>
              <w:t>面试</w:t>
            </w:r>
          </w:p>
        </w:tc>
        <w:tc>
          <w:tcPr>
            <w:tcW w:w="572" w:type="pct"/>
            <w:shd w:val="clear" w:color="auto" w:fill="auto"/>
            <w:tcMar>
              <w:top w:w="28" w:type="dxa"/>
              <w:left w:w="57" w:type="dxa"/>
              <w:bottom w:w="28" w:type="dxa"/>
              <w:right w:w="57" w:type="dxa"/>
            </w:tcMar>
            <w:vAlign w:val="center"/>
          </w:tcPr>
          <w:p>
            <w:pPr>
              <w:widowControl/>
              <w:numPr>
                <w:ilvl w:val="0"/>
                <w:numId w:val="0"/>
              </w:numPr>
              <w:spacing w:line="240" w:lineRule="exact"/>
              <w:rPr>
                <w:rFonts w:hint="eastAsia" w:ascii="宋体" w:hAnsi="宋体" w:eastAsia="宋体" w:cs="Times New Roman"/>
                <w:color w:val="000000"/>
                <w:kern w:val="0"/>
                <w:sz w:val="20"/>
                <w:szCs w:val="20"/>
                <w:lang w:val="en-US" w:eastAsia="zh-CN" w:bidi="ar-SA"/>
              </w:rPr>
            </w:pPr>
            <w:r>
              <w:rPr>
                <w:rFonts w:hint="eastAsia" w:ascii="宋体" w:hAnsi="宋体" w:eastAsia="宋体" w:cs="Times New Roman"/>
                <w:color w:val="000000"/>
                <w:kern w:val="0"/>
                <w:sz w:val="20"/>
                <w:szCs w:val="20"/>
                <w:lang w:val="en-US" w:eastAsia="zh-CN" w:bidi="ar-SA"/>
              </w:rPr>
              <w:t>1.免费居住人才公寓（或给予租房补贴）3年；</w:t>
            </w:r>
          </w:p>
          <w:p>
            <w:pPr>
              <w:widowControl/>
              <w:numPr>
                <w:ilvl w:val="0"/>
                <w:numId w:val="0"/>
              </w:numPr>
              <w:spacing w:line="240" w:lineRule="exac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lang w:val="en-US" w:eastAsia="zh-CN" w:bidi="ar-SA"/>
              </w:rPr>
              <w:t>2.享受“购房券”待遇（博士研究生25万元；本科段学历为“双一流”高校的硕士研究生15万元；本科段学历为普通高校的硕士研究生11万元；“双一流”高校本科毕业生8万元）。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35" w:hRule="atLeast"/>
          <w:jc w:val="center"/>
        </w:trPr>
        <w:tc>
          <w:tcPr>
            <w:tcW w:w="275"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泰兴市</w:t>
            </w:r>
          </w:p>
        </w:tc>
        <w:tc>
          <w:tcPr>
            <w:tcW w:w="21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2B</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Times New Roman"/>
                <w:color w:val="000000"/>
                <w:kern w:val="0"/>
                <w:sz w:val="20"/>
                <w:szCs w:val="20"/>
              </w:rPr>
            </w:pPr>
            <w:r>
              <w:rPr>
                <w:rFonts w:hint="eastAsia" w:ascii="宋体" w:hAnsi="宋体" w:eastAsia="宋体" w:cs="Times New Roman"/>
                <w:color w:val="000000"/>
                <w:kern w:val="0"/>
                <w:sz w:val="20"/>
                <w:szCs w:val="20"/>
              </w:rPr>
              <w:t>泰兴市</w:t>
            </w:r>
          </w:p>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中鑫投资集团有限公司</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法律类</w:t>
            </w:r>
          </w:p>
        </w:tc>
        <w:tc>
          <w:tcPr>
            <w:tcW w:w="229"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2B-4</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法务</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w:t>
            </w:r>
          </w:p>
        </w:tc>
        <w:tc>
          <w:tcPr>
            <w:tcW w:w="365"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本科及以上</w:t>
            </w:r>
          </w:p>
        </w:tc>
        <w:tc>
          <w:tcPr>
            <w:tcW w:w="687" w:type="pct"/>
            <w:shd w:val="clear" w:color="auto" w:fill="auto"/>
            <w:tcMar>
              <w:top w:w="28" w:type="dxa"/>
              <w:left w:w="57" w:type="dxa"/>
              <w:bottom w:w="28" w:type="dxa"/>
              <w:right w:w="57" w:type="dxa"/>
            </w:tcMar>
            <w:vAlign w:val="center"/>
          </w:tcPr>
          <w:p>
            <w:pPr>
              <w:widowControl/>
              <w:spacing w:line="240" w:lineRule="exact"/>
              <w:jc w:val="left"/>
              <w:rPr>
                <w:rFonts w:ascii="宋体" w:hAnsi="宋体" w:eastAsia="宋体" w:cs="宋体"/>
                <w:color w:val="000000"/>
                <w:kern w:val="0"/>
                <w:sz w:val="20"/>
                <w:szCs w:val="20"/>
              </w:rPr>
            </w:pPr>
            <w:r>
              <w:rPr>
                <w:rFonts w:hint="eastAsia" w:ascii="Times New Roman" w:hAnsi="Times New Roman" w:eastAsia="宋体" w:cs="宋体"/>
                <w:color w:val="000000"/>
                <w:kern w:val="0"/>
                <w:sz w:val="20"/>
                <w:szCs w:val="20"/>
              </w:rPr>
              <w:t>法学，律师，民商法，法律，法学（法务金融），法学（法务会计），宪法学与行政法学，民商法学（含：劳动法学、社会保障法学），诉讼法，诉讼法学，经济法学，环境与资源保护法学，法律硕士，法律（法学），法律（非法学），法律硕士（法学），法律硕士（非法学），经济法</w:t>
            </w:r>
          </w:p>
        </w:tc>
        <w:tc>
          <w:tcPr>
            <w:tcW w:w="689" w:type="pct"/>
            <w:shd w:val="clear" w:color="auto" w:fill="auto"/>
            <w:tcMar>
              <w:top w:w="28" w:type="dxa"/>
              <w:left w:w="57" w:type="dxa"/>
              <w:bottom w:w="28" w:type="dxa"/>
              <w:right w:w="57" w:type="dxa"/>
            </w:tcMar>
            <w:vAlign w:val="center"/>
          </w:tcPr>
          <w:p>
            <w:pPr>
              <w:widowControl/>
              <w:spacing w:line="240" w:lineRule="exact"/>
              <w:jc w:val="both"/>
              <w:rPr>
                <w:rFonts w:hint="eastAsia" w:ascii="Times New Roman" w:hAnsi="Times New Roman" w:eastAsia="宋体" w:cs="Times New Roman"/>
                <w:kern w:val="0"/>
                <w:sz w:val="20"/>
                <w:szCs w:val="20"/>
              </w:rPr>
            </w:pPr>
            <w:r>
              <w:rPr>
                <w:rFonts w:hint="eastAsia" w:ascii="Times New Roman" w:hAnsi="Times New Roman" w:eastAsia="宋体" w:cs="Times New Roman"/>
                <w:kern w:val="0"/>
                <w:sz w:val="20"/>
                <w:szCs w:val="20"/>
              </w:rPr>
              <w:t>1.第一轮“一流大学”建设高校全日制本科及以上学历毕业生；</w:t>
            </w:r>
          </w:p>
          <w:p>
            <w:pPr>
              <w:widowControl/>
              <w:spacing w:line="240" w:lineRule="exact"/>
              <w:jc w:val="both"/>
              <w:rPr>
                <w:rFonts w:hint="eastAsia" w:ascii="Times New Roman" w:hAnsi="Times New Roman" w:eastAsia="宋体" w:cs="Times New Roman"/>
                <w:kern w:val="0"/>
                <w:sz w:val="20"/>
                <w:szCs w:val="20"/>
              </w:rPr>
            </w:pPr>
            <w:r>
              <w:rPr>
                <w:rFonts w:hint="eastAsia" w:ascii="Times New Roman" w:hAnsi="Times New Roman" w:eastAsia="宋体" w:cs="Times New Roman"/>
                <w:kern w:val="0"/>
                <w:sz w:val="20"/>
                <w:szCs w:val="20"/>
              </w:rPr>
              <w:t>2.第二轮“双一流”建设高校全日制硕士研究生及以上学历毕业生；</w:t>
            </w:r>
          </w:p>
          <w:p>
            <w:pPr>
              <w:widowControl/>
              <w:spacing w:line="240" w:lineRule="exact"/>
              <w:jc w:val="both"/>
              <w:rPr>
                <w:rFonts w:hint="eastAsia" w:ascii="Times New Roman" w:hAnsi="Times New Roman" w:eastAsia="宋体" w:cs="Times New Roman"/>
                <w:kern w:val="0"/>
                <w:sz w:val="20"/>
                <w:szCs w:val="20"/>
              </w:rPr>
            </w:pPr>
            <w:r>
              <w:rPr>
                <w:rFonts w:hint="eastAsia" w:ascii="Times New Roman" w:hAnsi="Times New Roman" w:eastAsia="宋体" w:cs="Times New Roman"/>
                <w:kern w:val="0"/>
                <w:sz w:val="20"/>
                <w:szCs w:val="20"/>
              </w:rPr>
              <w:t>3.最新世界大学排名榜单（QS、THE、U.S.NEWS、ARWU、CWUR）前100名国（境）外高校的全日制硕士研究生及以上学历毕业生；</w:t>
            </w:r>
          </w:p>
          <w:p>
            <w:pPr>
              <w:widowControl/>
              <w:spacing w:line="240" w:lineRule="exact"/>
              <w:jc w:val="both"/>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4.须取得国家法律职业资格证书（A类）。</w:t>
            </w:r>
          </w:p>
        </w:tc>
        <w:tc>
          <w:tcPr>
            <w:tcW w:w="504" w:type="pct"/>
            <w:shd w:val="clear" w:color="auto" w:fill="auto"/>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报名网址：</w:t>
            </w:r>
            <w:r>
              <w:rPr>
                <w:rFonts w:hint="default" w:ascii="Times New Roman" w:hAnsi="Times New Roman" w:eastAsia="宋体" w:cs="Times New Roman"/>
                <w:color w:val="auto"/>
                <w:kern w:val="0"/>
                <w:sz w:val="20"/>
                <w:szCs w:val="20"/>
                <w:u w:val="none"/>
              </w:rPr>
              <w:fldChar w:fldCharType="begin"/>
            </w:r>
            <w:r>
              <w:rPr>
                <w:rFonts w:hint="default" w:ascii="Times New Roman" w:hAnsi="Times New Roman" w:eastAsia="宋体" w:cs="Times New Roman"/>
                <w:color w:val="auto"/>
                <w:kern w:val="0"/>
                <w:sz w:val="20"/>
                <w:szCs w:val="20"/>
                <w:u w:val="none"/>
              </w:rPr>
              <w:instrText xml:space="preserve"> HYPERLINK "http://www.tzjob.com" </w:instrText>
            </w:r>
            <w:r>
              <w:rPr>
                <w:rFonts w:hint="default" w:ascii="Times New Roman" w:hAnsi="Times New Roman" w:eastAsia="宋体" w:cs="Times New Roman"/>
                <w:color w:val="auto"/>
                <w:kern w:val="0"/>
                <w:sz w:val="20"/>
                <w:szCs w:val="20"/>
                <w:u w:val="none"/>
              </w:rPr>
              <w:fldChar w:fldCharType="separate"/>
            </w:r>
            <w:r>
              <w:rPr>
                <w:rStyle w:val="6"/>
                <w:rFonts w:hint="default" w:ascii="Times New Roman" w:hAnsi="Times New Roman" w:eastAsia="宋体" w:cs="Times New Roman"/>
                <w:color w:val="auto"/>
                <w:kern w:val="0"/>
                <w:sz w:val="20"/>
                <w:szCs w:val="20"/>
                <w:u w:val="none"/>
              </w:rPr>
              <w:t>www.tzjob.com</w:t>
            </w:r>
            <w:r>
              <w:rPr>
                <w:rFonts w:hint="default" w:ascii="Times New Roman" w:hAnsi="Times New Roman" w:eastAsia="宋体" w:cs="Times New Roman"/>
                <w:color w:val="auto"/>
                <w:kern w:val="0"/>
                <w:sz w:val="20"/>
                <w:szCs w:val="20"/>
                <w:u w:val="none"/>
              </w:rPr>
              <w:fldChar w:fldCharType="end"/>
            </w:r>
            <w:r>
              <w:rPr>
                <w:rFonts w:hint="default" w:ascii="Times New Roman" w:hAnsi="Times New Roman" w:eastAsia="宋体" w:cs="Times New Roman"/>
                <w:kern w:val="0"/>
                <w:sz w:val="20"/>
                <w:szCs w:val="20"/>
              </w:rPr>
              <w:t>电子邮箱：txzzbghb@126.com</w:t>
            </w:r>
          </w:p>
          <w:p>
            <w:pPr>
              <w:widowControl/>
              <w:spacing w:line="240" w:lineRule="exact"/>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咨询电话：</w:t>
            </w:r>
          </w:p>
          <w:p>
            <w:pPr>
              <w:widowControl/>
              <w:spacing w:line="240" w:lineRule="exact"/>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13512550991；</w:t>
            </w:r>
          </w:p>
          <w:p>
            <w:pPr>
              <w:widowControl/>
              <w:spacing w:line="240" w:lineRule="exact"/>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18994713397。</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275"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综评</w:t>
            </w:r>
            <w:r>
              <w:rPr>
                <w:rFonts w:ascii="Times New Roman" w:hAnsi="Times New Roman" w:eastAsia="宋体" w:cs="Times New Roman"/>
                <w:kern w:val="0"/>
                <w:sz w:val="20"/>
                <w:szCs w:val="20"/>
              </w:rPr>
              <w:t>+</w:t>
            </w:r>
            <w:r>
              <w:rPr>
                <w:rFonts w:hint="eastAsia" w:ascii="宋体" w:hAnsi="宋体" w:eastAsia="宋体" w:cs="Times New Roman"/>
                <w:kern w:val="0"/>
                <w:sz w:val="20"/>
                <w:szCs w:val="20"/>
              </w:rPr>
              <w:t>面试</w:t>
            </w:r>
          </w:p>
        </w:tc>
        <w:tc>
          <w:tcPr>
            <w:tcW w:w="572" w:type="pct"/>
            <w:shd w:val="clear" w:color="auto" w:fill="auto"/>
            <w:tcMar>
              <w:top w:w="28" w:type="dxa"/>
              <w:left w:w="57" w:type="dxa"/>
              <w:bottom w:w="28" w:type="dxa"/>
              <w:right w:w="57" w:type="dxa"/>
            </w:tcMar>
            <w:vAlign w:val="center"/>
          </w:tcPr>
          <w:p>
            <w:pPr>
              <w:widowControl/>
              <w:numPr>
                <w:ilvl w:val="0"/>
                <w:numId w:val="0"/>
              </w:numPr>
              <w:spacing w:line="240" w:lineRule="exact"/>
              <w:rPr>
                <w:rFonts w:hint="eastAsia" w:ascii="宋体" w:hAnsi="宋体" w:eastAsia="宋体" w:cs="Times New Roman"/>
                <w:color w:val="000000"/>
                <w:kern w:val="0"/>
                <w:sz w:val="20"/>
                <w:szCs w:val="20"/>
                <w:lang w:val="en-US" w:eastAsia="zh-CN" w:bidi="ar-SA"/>
              </w:rPr>
            </w:pPr>
            <w:r>
              <w:rPr>
                <w:rFonts w:hint="eastAsia" w:ascii="宋体" w:hAnsi="宋体" w:eastAsia="宋体" w:cs="Times New Roman"/>
                <w:color w:val="000000"/>
                <w:kern w:val="0"/>
                <w:sz w:val="20"/>
                <w:szCs w:val="20"/>
                <w:lang w:val="en-US" w:eastAsia="zh-CN" w:bidi="ar-SA"/>
              </w:rPr>
              <w:t>1.免费居住人才公寓（或给予租房补贴）3年；</w:t>
            </w:r>
          </w:p>
          <w:p>
            <w:pPr>
              <w:widowControl/>
              <w:numPr>
                <w:ilvl w:val="0"/>
                <w:numId w:val="0"/>
              </w:numPr>
              <w:spacing w:line="240" w:lineRule="exac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lang w:val="en-US" w:eastAsia="zh-CN" w:bidi="ar-SA"/>
              </w:rPr>
              <w:t>2.享受“购房券”待遇（博士研究生25万元；本科段学历为“双一流”高校的硕士研究生15万元；本科段学历为普通高校的硕士研究生11万元；“双一流”高校本科毕业生8万元）。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22" w:hRule="atLeast"/>
          <w:jc w:val="center"/>
        </w:trPr>
        <w:tc>
          <w:tcPr>
            <w:tcW w:w="275"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兴化市</w:t>
            </w:r>
          </w:p>
        </w:tc>
        <w:tc>
          <w:tcPr>
            <w:tcW w:w="21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3B</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兴化市属国有企业岗位</w:t>
            </w:r>
            <w:r>
              <w:rPr>
                <w:rFonts w:ascii="Times New Roman" w:hAnsi="Times New Roman" w:eastAsia="宋体" w:cs="Times New Roman"/>
                <w:color w:val="000000"/>
                <w:kern w:val="0"/>
                <w:sz w:val="20"/>
                <w:szCs w:val="20"/>
              </w:rPr>
              <w:t>1</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专业类</w:t>
            </w:r>
            <w:r>
              <w:rPr>
                <w:rFonts w:ascii="Times New Roman" w:hAnsi="Times New Roman" w:eastAsia="宋体" w:cs="Times New Roman"/>
                <w:color w:val="000000"/>
                <w:kern w:val="0"/>
                <w:sz w:val="20"/>
                <w:szCs w:val="20"/>
              </w:rPr>
              <w:t>1</w:t>
            </w:r>
          </w:p>
        </w:tc>
        <w:tc>
          <w:tcPr>
            <w:tcW w:w="229"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3B-1</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工作人员</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3</w:t>
            </w:r>
          </w:p>
        </w:tc>
        <w:tc>
          <w:tcPr>
            <w:tcW w:w="365"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本科及以上</w:t>
            </w:r>
          </w:p>
        </w:tc>
        <w:tc>
          <w:tcPr>
            <w:tcW w:w="687" w:type="pct"/>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应用经济学，数量经济学，产业经济学，经济学，国际经济与贸易，财政学（含税收学），金融学（含保险学），贸易经济，金融工程，税务，信用管理，投资学，会展经济与管理，经济统计学，商务经济学，能源经济，金融数学，经济与金融，资产评估，金融管理，国际贸易，金融，工程造价，财务管理，应用统计，应用统计学，互联网金融，金融科技应用，大数据与财务管理，大数据与审计，金融科技，审计，会计与金融，数字经济</w:t>
            </w:r>
          </w:p>
        </w:tc>
        <w:tc>
          <w:tcPr>
            <w:tcW w:w="689" w:type="pct"/>
            <w:shd w:val="clear" w:color="auto" w:fill="auto"/>
            <w:tcMar>
              <w:top w:w="28" w:type="dxa"/>
              <w:left w:w="57" w:type="dxa"/>
              <w:bottom w:w="28" w:type="dxa"/>
              <w:right w:w="57" w:type="dxa"/>
            </w:tcMar>
            <w:vAlign w:val="center"/>
          </w:tcPr>
          <w:p>
            <w:pPr>
              <w:widowControl/>
              <w:numPr>
                <w:ilvl w:val="0"/>
                <w:numId w:val="0"/>
              </w:numPr>
              <w:spacing w:line="240" w:lineRule="exact"/>
              <w:jc w:val="both"/>
              <w:rPr>
                <w:rFonts w:hint="eastAsia" w:ascii="宋体" w:hAnsi="宋体" w:eastAsia="宋体" w:cs="Times New Roman"/>
                <w:kern w:val="0"/>
                <w:sz w:val="20"/>
                <w:szCs w:val="20"/>
                <w:lang w:val="en-US" w:eastAsia="zh-CN" w:bidi="ar-SA"/>
              </w:rPr>
            </w:pPr>
            <w:r>
              <w:rPr>
                <w:rFonts w:hint="eastAsia" w:ascii="宋体" w:hAnsi="宋体" w:eastAsia="宋体" w:cs="Times New Roman"/>
                <w:kern w:val="0"/>
                <w:sz w:val="20"/>
                <w:szCs w:val="20"/>
                <w:lang w:val="en-US" w:eastAsia="zh-CN" w:bidi="ar-SA"/>
              </w:rPr>
              <w:t>1.应具备以下条件之一：</w:t>
            </w:r>
          </w:p>
          <w:p>
            <w:pPr>
              <w:widowControl/>
              <w:numPr>
                <w:ilvl w:val="0"/>
                <w:numId w:val="0"/>
              </w:numPr>
              <w:spacing w:line="240" w:lineRule="exact"/>
              <w:jc w:val="both"/>
              <w:rPr>
                <w:rFonts w:hint="eastAsia" w:ascii="宋体" w:hAnsi="宋体" w:eastAsia="宋体" w:cs="Times New Roman"/>
                <w:kern w:val="0"/>
                <w:sz w:val="20"/>
                <w:szCs w:val="20"/>
                <w:lang w:val="en-US" w:eastAsia="zh-CN" w:bidi="ar-SA"/>
              </w:rPr>
            </w:pPr>
            <w:r>
              <w:rPr>
                <w:rFonts w:hint="eastAsia" w:ascii="宋体" w:hAnsi="宋体" w:eastAsia="宋体" w:cs="Times New Roman"/>
                <w:kern w:val="0"/>
                <w:sz w:val="20"/>
                <w:szCs w:val="20"/>
                <w:lang w:val="en-US" w:eastAsia="zh-CN" w:bidi="ar-SA"/>
              </w:rPr>
              <w:t>①第二轮“双一流”建设高校全日制本科毕业生；</w:t>
            </w:r>
          </w:p>
          <w:p>
            <w:pPr>
              <w:widowControl/>
              <w:numPr>
                <w:ilvl w:val="0"/>
                <w:numId w:val="0"/>
              </w:numPr>
              <w:spacing w:line="240" w:lineRule="exact"/>
              <w:jc w:val="both"/>
              <w:rPr>
                <w:rFonts w:hint="eastAsia" w:ascii="宋体" w:hAnsi="宋体" w:eastAsia="宋体" w:cs="Times New Roman"/>
                <w:kern w:val="0"/>
                <w:sz w:val="20"/>
                <w:szCs w:val="20"/>
                <w:lang w:val="en-US" w:eastAsia="zh-CN" w:bidi="ar-SA"/>
              </w:rPr>
            </w:pPr>
            <w:r>
              <w:rPr>
                <w:rFonts w:hint="eastAsia" w:ascii="宋体" w:hAnsi="宋体" w:eastAsia="宋体" w:cs="Times New Roman"/>
                <w:kern w:val="0"/>
                <w:sz w:val="20"/>
                <w:szCs w:val="20"/>
                <w:lang w:val="en-US" w:eastAsia="zh-CN" w:bidi="ar-SA"/>
              </w:rPr>
              <w:t>②国内高校全日制硕士研究生及以上学历毕业生；</w:t>
            </w:r>
          </w:p>
          <w:p>
            <w:pPr>
              <w:widowControl/>
              <w:numPr>
                <w:ilvl w:val="0"/>
                <w:numId w:val="0"/>
              </w:numPr>
              <w:spacing w:line="240" w:lineRule="exact"/>
              <w:jc w:val="both"/>
              <w:rPr>
                <w:rFonts w:hint="eastAsia" w:ascii="宋体" w:hAnsi="宋体" w:eastAsia="宋体" w:cs="Times New Roman"/>
                <w:kern w:val="0"/>
                <w:sz w:val="20"/>
                <w:szCs w:val="20"/>
                <w:lang w:val="en-US" w:eastAsia="zh-CN" w:bidi="ar-SA"/>
              </w:rPr>
            </w:pPr>
            <w:r>
              <w:rPr>
                <w:rFonts w:hint="eastAsia" w:ascii="宋体" w:hAnsi="宋体" w:eastAsia="宋体" w:cs="Times New Roman"/>
                <w:kern w:val="0"/>
                <w:sz w:val="20"/>
                <w:szCs w:val="20"/>
                <w:lang w:val="en-US" w:eastAsia="zh-CN" w:bidi="ar-SA"/>
              </w:rPr>
              <w:t>③最新世界大学排名榜单（QS、THE、U.S.News、ARWU、CWUR）前100名国（境）外高校的全日制硕士研究生及以上学历毕业生（本科须为国内高校全日制毕业生）。</w:t>
            </w:r>
          </w:p>
          <w:p>
            <w:pPr>
              <w:widowControl/>
              <w:numPr>
                <w:ilvl w:val="0"/>
                <w:numId w:val="0"/>
              </w:numPr>
              <w:spacing w:line="240" w:lineRule="exact"/>
              <w:jc w:val="both"/>
              <w:rPr>
                <w:rFonts w:ascii="Times New Roman" w:hAnsi="Times New Roman" w:eastAsia="宋体" w:cs="Times New Roman"/>
                <w:kern w:val="0"/>
                <w:sz w:val="20"/>
                <w:szCs w:val="20"/>
              </w:rPr>
            </w:pPr>
            <w:r>
              <w:rPr>
                <w:rFonts w:hint="eastAsia" w:ascii="宋体" w:hAnsi="宋体" w:eastAsia="宋体" w:cs="Times New Roman"/>
                <w:kern w:val="0"/>
                <w:sz w:val="20"/>
                <w:szCs w:val="20"/>
                <w:lang w:val="en-US" w:eastAsia="zh-CN" w:bidi="ar-SA"/>
              </w:rPr>
              <w:t>2.拥有相关行业工作经验，持有专业资格证书者优先。</w:t>
            </w:r>
          </w:p>
        </w:tc>
        <w:tc>
          <w:tcPr>
            <w:tcW w:w="504" w:type="pct"/>
            <w:shd w:val="clear" w:color="auto" w:fill="auto"/>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报名网址：</w:t>
            </w:r>
            <w:r>
              <w:rPr>
                <w:rFonts w:hint="default" w:ascii="Times New Roman" w:hAnsi="Times New Roman" w:eastAsia="宋体" w:cs="Times New Roman"/>
                <w:color w:val="auto"/>
                <w:kern w:val="0"/>
                <w:sz w:val="20"/>
                <w:szCs w:val="20"/>
                <w:u w:val="none"/>
              </w:rPr>
              <w:fldChar w:fldCharType="begin"/>
            </w:r>
            <w:r>
              <w:rPr>
                <w:rFonts w:hint="default" w:ascii="Times New Roman" w:hAnsi="Times New Roman" w:eastAsia="宋体" w:cs="Times New Roman"/>
                <w:color w:val="auto"/>
                <w:kern w:val="0"/>
                <w:sz w:val="20"/>
                <w:szCs w:val="20"/>
                <w:u w:val="none"/>
              </w:rPr>
              <w:instrText xml:space="preserve"> HYPERLINK "http://www.tzjob.com" </w:instrText>
            </w:r>
            <w:r>
              <w:rPr>
                <w:rFonts w:hint="default" w:ascii="Times New Roman" w:hAnsi="Times New Roman" w:eastAsia="宋体" w:cs="Times New Roman"/>
                <w:color w:val="auto"/>
                <w:kern w:val="0"/>
                <w:sz w:val="20"/>
                <w:szCs w:val="20"/>
                <w:u w:val="none"/>
              </w:rPr>
              <w:fldChar w:fldCharType="separate"/>
            </w:r>
            <w:r>
              <w:rPr>
                <w:rStyle w:val="6"/>
                <w:rFonts w:hint="default" w:ascii="Times New Roman" w:hAnsi="Times New Roman" w:eastAsia="宋体" w:cs="Times New Roman"/>
                <w:color w:val="auto"/>
                <w:kern w:val="0"/>
                <w:sz w:val="20"/>
                <w:szCs w:val="20"/>
                <w:u w:val="none"/>
              </w:rPr>
              <w:t>www.tzjob.com</w:t>
            </w:r>
            <w:r>
              <w:rPr>
                <w:rFonts w:hint="default" w:ascii="Times New Roman" w:hAnsi="Times New Roman" w:eastAsia="宋体" w:cs="Times New Roman"/>
                <w:color w:val="auto"/>
                <w:kern w:val="0"/>
                <w:sz w:val="20"/>
                <w:szCs w:val="20"/>
                <w:u w:val="none"/>
              </w:rPr>
              <w:fldChar w:fldCharType="end"/>
            </w:r>
            <w:r>
              <w:rPr>
                <w:rFonts w:hint="default" w:ascii="Times New Roman" w:hAnsi="Times New Roman" w:eastAsia="宋体" w:cs="Times New Roman"/>
                <w:kern w:val="0"/>
                <w:sz w:val="20"/>
                <w:szCs w:val="20"/>
              </w:rPr>
              <w:t>报名网址：</w:t>
            </w:r>
            <w:r>
              <w:rPr>
                <w:rFonts w:hint="default" w:ascii="Times New Roman" w:hAnsi="Times New Roman" w:eastAsia="宋体" w:cs="Times New Roman"/>
                <w:color w:val="auto"/>
                <w:kern w:val="0"/>
                <w:sz w:val="20"/>
                <w:szCs w:val="20"/>
                <w:u w:val="none"/>
              </w:rPr>
              <w:fldChar w:fldCharType="begin"/>
            </w:r>
            <w:r>
              <w:rPr>
                <w:rFonts w:hint="default" w:ascii="Times New Roman" w:hAnsi="Times New Roman" w:eastAsia="宋体" w:cs="Times New Roman"/>
                <w:color w:val="auto"/>
                <w:kern w:val="0"/>
                <w:sz w:val="20"/>
                <w:szCs w:val="20"/>
                <w:u w:val="none"/>
              </w:rPr>
              <w:instrText xml:space="preserve"> HYPERLINK "http://www.tzjob.com" </w:instrText>
            </w:r>
            <w:r>
              <w:rPr>
                <w:rFonts w:hint="default" w:ascii="Times New Roman" w:hAnsi="Times New Roman" w:eastAsia="宋体" w:cs="Times New Roman"/>
                <w:color w:val="auto"/>
                <w:kern w:val="0"/>
                <w:sz w:val="20"/>
                <w:szCs w:val="20"/>
                <w:u w:val="none"/>
              </w:rPr>
              <w:fldChar w:fldCharType="separate"/>
            </w:r>
            <w:r>
              <w:rPr>
                <w:rStyle w:val="6"/>
                <w:rFonts w:hint="default" w:ascii="Times New Roman" w:hAnsi="Times New Roman" w:eastAsia="宋体" w:cs="Times New Roman"/>
                <w:color w:val="auto"/>
                <w:kern w:val="0"/>
                <w:sz w:val="20"/>
                <w:szCs w:val="20"/>
                <w:u w:val="none"/>
              </w:rPr>
              <w:t>www.tzjob.com</w:t>
            </w:r>
            <w:r>
              <w:rPr>
                <w:rFonts w:hint="default" w:ascii="Times New Roman" w:hAnsi="Times New Roman" w:eastAsia="宋体" w:cs="Times New Roman"/>
                <w:color w:val="auto"/>
                <w:kern w:val="0"/>
                <w:sz w:val="20"/>
                <w:szCs w:val="20"/>
                <w:u w:val="none"/>
              </w:rPr>
              <w:fldChar w:fldCharType="end"/>
            </w:r>
            <w:r>
              <w:rPr>
                <w:rFonts w:hint="default" w:ascii="Times New Roman" w:hAnsi="Times New Roman" w:eastAsia="宋体" w:cs="Times New Roman"/>
                <w:kern w:val="0"/>
                <w:sz w:val="20"/>
                <w:szCs w:val="20"/>
              </w:rPr>
              <w:t>电子邮箱：</w:t>
            </w:r>
            <w:r>
              <w:rPr>
                <w:rFonts w:hint="default" w:ascii="Times New Roman" w:hAnsi="Times New Roman" w:eastAsia="宋体" w:cs="Times New Roman"/>
                <w:color w:val="auto"/>
                <w:kern w:val="0"/>
                <w:sz w:val="20"/>
                <w:szCs w:val="20"/>
                <w:u w:val="none"/>
              </w:rPr>
              <w:fldChar w:fldCharType="begin"/>
            </w:r>
            <w:r>
              <w:rPr>
                <w:rFonts w:hint="default" w:ascii="Times New Roman" w:hAnsi="Times New Roman" w:eastAsia="宋体" w:cs="Times New Roman"/>
                <w:color w:val="auto"/>
                <w:kern w:val="0"/>
                <w:sz w:val="20"/>
                <w:szCs w:val="20"/>
                <w:u w:val="none"/>
              </w:rPr>
              <w:instrText xml:space="preserve"> HYPERLINK "mailto:xhqnrccbzx@126.com" </w:instrText>
            </w:r>
            <w:r>
              <w:rPr>
                <w:rFonts w:hint="default" w:ascii="Times New Roman" w:hAnsi="Times New Roman" w:eastAsia="宋体" w:cs="Times New Roman"/>
                <w:color w:val="auto"/>
                <w:kern w:val="0"/>
                <w:sz w:val="20"/>
                <w:szCs w:val="20"/>
                <w:u w:val="none"/>
              </w:rPr>
              <w:fldChar w:fldCharType="separate"/>
            </w:r>
            <w:r>
              <w:rPr>
                <w:rStyle w:val="6"/>
                <w:rFonts w:hint="default" w:ascii="Times New Roman" w:hAnsi="Times New Roman" w:eastAsia="宋体" w:cs="Times New Roman"/>
                <w:color w:val="auto"/>
                <w:kern w:val="0"/>
                <w:sz w:val="20"/>
                <w:szCs w:val="20"/>
                <w:u w:val="none"/>
              </w:rPr>
              <w:t>xhqnrccbzx@126.com</w:t>
            </w:r>
            <w:r>
              <w:rPr>
                <w:rFonts w:hint="default" w:ascii="Times New Roman" w:hAnsi="Times New Roman" w:eastAsia="宋体" w:cs="Times New Roman"/>
                <w:color w:val="auto"/>
                <w:kern w:val="0"/>
                <w:sz w:val="20"/>
                <w:szCs w:val="20"/>
                <w:u w:val="none"/>
              </w:rPr>
              <w:fldChar w:fldCharType="end"/>
            </w:r>
          </w:p>
          <w:p>
            <w:pPr>
              <w:widowControl/>
              <w:spacing w:line="240" w:lineRule="exact"/>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br w:type="page"/>
            </w:r>
            <w:r>
              <w:rPr>
                <w:rFonts w:hint="default" w:ascii="Times New Roman" w:hAnsi="Times New Roman" w:eastAsia="宋体" w:cs="Times New Roman"/>
                <w:kern w:val="0"/>
                <w:sz w:val="20"/>
                <w:szCs w:val="20"/>
              </w:rPr>
              <w:t>咨询电话：0523-83326196</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w:t>
            </w:r>
          </w:p>
        </w:tc>
        <w:tc>
          <w:tcPr>
            <w:tcW w:w="275"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结构化面试</w:t>
            </w:r>
            <w:r>
              <w:rPr>
                <w:rFonts w:ascii="Times New Roman" w:hAnsi="Times New Roman" w:eastAsia="宋体" w:cs="Times New Roman"/>
                <w:kern w:val="0"/>
                <w:sz w:val="20"/>
                <w:szCs w:val="20"/>
              </w:rPr>
              <w:t>+</w:t>
            </w:r>
            <w:r>
              <w:rPr>
                <w:rFonts w:hint="eastAsia" w:ascii="宋体" w:hAnsi="宋体" w:eastAsia="宋体" w:cs="Times New Roman"/>
                <w:kern w:val="0"/>
                <w:sz w:val="20"/>
                <w:szCs w:val="20"/>
              </w:rPr>
              <w:t>面谈</w:t>
            </w:r>
          </w:p>
        </w:tc>
        <w:tc>
          <w:tcPr>
            <w:tcW w:w="572" w:type="pct"/>
            <w:shd w:val="clear" w:color="auto" w:fill="auto"/>
            <w:tcMar>
              <w:top w:w="28" w:type="dxa"/>
              <w:left w:w="57" w:type="dxa"/>
              <w:bottom w:w="28" w:type="dxa"/>
              <w:right w:w="57" w:type="dxa"/>
            </w:tcMar>
            <w:vAlign w:val="center"/>
          </w:tcPr>
          <w:p>
            <w:pPr>
              <w:widowControl/>
              <w:numPr>
                <w:ilvl w:val="0"/>
                <w:numId w:val="0"/>
              </w:numPr>
              <w:spacing w:line="240" w:lineRule="exact"/>
              <w:jc w:val="left"/>
              <w:rPr>
                <w:rFonts w:hint="eastAsia" w:ascii="宋体" w:hAnsi="宋体" w:eastAsia="宋体" w:cs="Times New Roman"/>
                <w:color w:val="000000"/>
                <w:kern w:val="0"/>
                <w:sz w:val="20"/>
                <w:szCs w:val="20"/>
              </w:rPr>
            </w:pPr>
            <w:r>
              <w:rPr>
                <w:rFonts w:hint="eastAsia" w:ascii="宋体" w:hAnsi="宋体" w:eastAsia="宋体" w:cs="Times New Roman"/>
                <w:color w:val="000000"/>
                <w:kern w:val="0"/>
                <w:sz w:val="20"/>
                <w:szCs w:val="20"/>
                <w:lang w:val="en-US" w:eastAsia="zh-CN"/>
              </w:rPr>
              <w:t>1.</w:t>
            </w:r>
            <w:r>
              <w:rPr>
                <w:rFonts w:hint="eastAsia" w:ascii="宋体" w:hAnsi="宋体" w:eastAsia="宋体" w:cs="Times New Roman"/>
                <w:color w:val="000000"/>
                <w:kern w:val="0"/>
                <w:sz w:val="20"/>
                <w:szCs w:val="20"/>
              </w:rPr>
              <w:t>工作前</w:t>
            </w:r>
            <w:r>
              <w:rPr>
                <w:rFonts w:ascii="Times New Roman" w:hAnsi="Times New Roman" w:eastAsia="宋体" w:cs="Times New Roman"/>
                <w:color w:val="000000"/>
                <w:kern w:val="0"/>
                <w:sz w:val="20"/>
                <w:szCs w:val="20"/>
              </w:rPr>
              <w:t>5</w:t>
            </w:r>
            <w:r>
              <w:rPr>
                <w:rFonts w:hint="eastAsia" w:ascii="宋体" w:hAnsi="宋体" w:eastAsia="宋体" w:cs="Times New Roman"/>
                <w:color w:val="000000"/>
                <w:kern w:val="0"/>
                <w:sz w:val="20"/>
                <w:szCs w:val="20"/>
              </w:rPr>
              <w:t>年薪酬待遇</w:t>
            </w:r>
            <w:r>
              <w:rPr>
                <w:rFonts w:hint="eastAsia" w:ascii="宋体" w:hAnsi="宋体" w:eastAsia="宋体" w:cs="Times New Roman"/>
                <w:color w:val="000000"/>
                <w:kern w:val="0"/>
                <w:sz w:val="20"/>
                <w:szCs w:val="20"/>
                <w:lang w:val="en-US" w:eastAsia="zh-CN"/>
              </w:rPr>
              <w:t>不低于</w:t>
            </w:r>
            <w:r>
              <w:rPr>
                <w:rFonts w:hint="eastAsia" w:ascii="宋体" w:hAnsi="宋体" w:eastAsia="宋体" w:cs="Times New Roman"/>
                <w:color w:val="000000"/>
                <w:kern w:val="0"/>
                <w:sz w:val="20"/>
                <w:szCs w:val="20"/>
              </w:rPr>
              <w:t>同</w:t>
            </w:r>
            <w:r>
              <w:rPr>
                <w:rFonts w:hint="eastAsia" w:ascii="宋体" w:hAnsi="宋体" w:eastAsia="宋体" w:cs="Times New Roman"/>
                <w:color w:val="000000"/>
                <w:kern w:val="0"/>
                <w:sz w:val="20"/>
                <w:szCs w:val="20"/>
                <w:lang w:val="en-US" w:eastAsia="zh-CN"/>
              </w:rPr>
              <w:t>类</w:t>
            </w:r>
            <w:r>
              <w:rPr>
                <w:rFonts w:hint="eastAsia" w:ascii="宋体" w:hAnsi="宋体" w:eastAsia="宋体" w:cs="Times New Roman"/>
                <w:color w:val="000000"/>
                <w:kern w:val="0"/>
                <w:sz w:val="20"/>
                <w:szCs w:val="20"/>
              </w:rPr>
              <w:t>全额事业编制人员；</w:t>
            </w:r>
          </w:p>
          <w:p>
            <w:pPr>
              <w:widowControl/>
              <w:numPr>
                <w:ilvl w:val="0"/>
                <w:numId w:val="0"/>
              </w:numPr>
              <w:spacing w:line="240" w:lineRule="exact"/>
              <w:jc w:val="left"/>
              <w:rPr>
                <w:rFonts w:hint="eastAsia" w:ascii="宋体" w:hAnsi="宋体" w:eastAsia="宋体" w:cs="Times New Roman"/>
                <w:color w:val="000000"/>
                <w:kern w:val="0"/>
                <w:sz w:val="20"/>
                <w:szCs w:val="20"/>
              </w:rPr>
            </w:pPr>
            <w:r>
              <w:rPr>
                <w:rFonts w:ascii="Times New Roman" w:hAnsi="Times New Roman" w:eastAsia="宋体" w:cs="Times New Roman"/>
                <w:color w:val="000000"/>
                <w:kern w:val="0"/>
                <w:sz w:val="20"/>
                <w:szCs w:val="20"/>
              </w:rPr>
              <w:br w:type="page"/>
            </w:r>
            <w:r>
              <w:rPr>
                <w:rFonts w:ascii="Times New Roman" w:hAnsi="Times New Roman" w:eastAsia="宋体" w:cs="Times New Roman"/>
                <w:color w:val="000000"/>
                <w:kern w:val="0"/>
                <w:sz w:val="20"/>
                <w:szCs w:val="20"/>
              </w:rPr>
              <w:t>2.5</w:t>
            </w:r>
            <w:r>
              <w:rPr>
                <w:rFonts w:hint="eastAsia" w:ascii="宋体" w:hAnsi="宋体" w:eastAsia="宋体" w:cs="Times New Roman"/>
                <w:color w:val="000000"/>
                <w:kern w:val="0"/>
                <w:sz w:val="20"/>
                <w:szCs w:val="20"/>
              </w:rPr>
              <w:t>年内享受兴化市企业引进高层次人才有关待遇；</w:t>
            </w:r>
          </w:p>
          <w:p>
            <w:pPr>
              <w:widowControl/>
              <w:numPr>
                <w:ilvl w:val="0"/>
                <w:numId w:val="0"/>
              </w:numPr>
              <w:spacing w:line="240" w:lineRule="exac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br w:type="page"/>
            </w:r>
            <w:r>
              <w:rPr>
                <w:rFonts w:ascii="Times New Roman" w:hAnsi="Times New Roman" w:eastAsia="宋体" w:cs="Times New Roman"/>
                <w:color w:val="000000"/>
                <w:kern w:val="0"/>
                <w:sz w:val="20"/>
                <w:szCs w:val="20"/>
              </w:rPr>
              <w:t>3.</w:t>
            </w:r>
            <w:r>
              <w:rPr>
                <w:rFonts w:hint="eastAsia" w:ascii="宋体" w:hAnsi="宋体" w:eastAsia="宋体" w:cs="Times New Roman"/>
                <w:color w:val="000000"/>
                <w:kern w:val="0"/>
                <w:sz w:val="20"/>
                <w:szCs w:val="20"/>
              </w:rPr>
              <w:t>由兴化市委组织部跟踪管理，纳入优秀年轻干部库重点培养。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27" w:hRule="atLeast"/>
          <w:jc w:val="center"/>
        </w:trPr>
        <w:tc>
          <w:tcPr>
            <w:tcW w:w="275"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兴化市</w:t>
            </w:r>
          </w:p>
        </w:tc>
        <w:tc>
          <w:tcPr>
            <w:tcW w:w="21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3B</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兴化市属国有企业岗位</w:t>
            </w:r>
            <w:r>
              <w:rPr>
                <w:rFonts w:ascii="Times New Roman" w:hAnsi="Times New Roman" w:eastAsia="宋体" w:cs="Times New Roman"/>
                <w:color w:val="000000"/>
                <w:kern w:val="0"/>
                <w:sz w:val="20"/>
                <w:szCs w:val="20"/>
              </w:rPr>
              <w:t>2</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专业类</w:t>
            </w:r>
            <w:r>
              <w:rPr>
                <w:rFonts w:ascii="Times New Roman" w:hAnsi="Times New Roman" w:eastAsia="宋体" w:cs="Times New Roman"/>
                <w:color w:val="000000"/>
                <w:kern w:val="0"/>
                <w:sz w:val="20"/>
                <w:szCs w:val="20"/>
              </w:rPr>
              <w:t>2</w:t>
            </w:r>
          </w:p>
        </w:tc>
        <w:tc>
          <w:tcPr>
            <w:tcW w:w="229"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3B-2</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工作人员</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w:t>
            </w:r>
          </w:p>
        </w:tc>
        <w:tc>
          <w:tcPr>
            <w:tcW w:w="365"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本科及以上</w:t>
            </w:r>
          </w:p>
        </w:tc>
        <w:tc>
          <w:tcPr>
            <w:tcW w:w="687" w:type="pct"/>
            <w:shd w:val="clear" w:color="auto" w:fill="auto"/>
            <w:tcMar>
              <w:top w:w="28" w:type="dxa"/>
              <w:left w:w="57" w:type="dxa"/>
              <w:bottom w:w="28" w:type="dxa"/>
              <w:right w:w="57" w:type="dxa"/>
            </w:tcMar>
            <w:vAlign w:val="center"/>
          </w:tcPr>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城市地下空间工程，历史建筑保护工程，土木工程，给排水科学与工程，道路桥梁与渡河工程，房地产开发与管理，水利水电工程，水利工程，交通工程，园林景观工程，城市地下工程，市政工程，给水排水工程，水务工程，房地产经营管理，建筑工程，建筑环境与设备工程，工业与民用建筑，给水排水，给排水工程，工民建，工程管理，工程造价，工程造价管理，建筑装饰工程，古建筑工程，建设工程管理，建筑与土木工程，土木水利，道路与铁道工程，水工结构工程，结构工程，建筑技术科学，岩土工程，项目管理</w:t>
            </w:r>
          </w:p>
        </w:tc>
        <w:tc>
          <w:tcPr>
            <w:tcW w:w="689" w:type="pct"/>
            <w:vMerge w:val="restart"/>
            <w:shd w:val="clear" w:color="auto" w:fill="auto"/>
            <w:tcMar>
              <w:top w:w="28" w:type="dxa"/>
              <w:left w:w="57" w:type="dxa"/>
              <w:bottom w:w="28" w:type="dxa"/>
              <w:right w:w="57" w:type="dxa"/>
            </w:tcMar>
            <w:vAlign w:val="center"/>
          </w:tcPr>
          <w:p>
            <w:pPr>
              <w:widowControl/>
              <w:spacing w:line="240" w:lineRule="exact"/>
              <w:jc w:val="left"/>
              <w:rPr>
                <w:rFonts w:hint="eastAsia" w:ascii="Times New Roman" w:hAnsi="Times New Roman" w:eastAsia="宋体" w:cs="Times New Roman"/>
                <w:kern w:val="0"/>
                <w:sz w:val="20"/>
                <w:szCs w:val="20"/>
              </w:rPr>
            </w:pPr>
            <w:r>
              <w:rPr>
                <w:rFonts w:hint="eastAsia" w:ascii="Times New Roman" w:hAnsi="Times New Roman" w:eastAsia="宋体" w:cs="Times New Roman"/>
                <w:kern w:val="0"/>
                <w:sz w:val="20"/>
                <w:szCs w:val="20"/>
              </w:rPr>
              <w:t>1.应具备以下条件之一：</w:t>
            </w:r>
          </w:p>
          <w:p>
            <w:pPr>
              <w:widowControl/>
              <w:spacing w:line="240" w:lineRule="exact"/>
              <w:jc w:val="left"/>
              <w:rPr>
                <w:rFonts w:hint="eastAsia" w:ascii="Times New Roman" w:hAnsi="Times New Roman" w:eastAsia="宋体" w:cs="Times New Roman"/>
                <w:kern w:val="0"/>
                <w:sz w:val="20"/>
                <w:szCs w:val="20"/>
              </w:rPr>
            </w:pPr>
            <w:r>
              <w:rPr>
                <w:rFonts w:hint="eastAsia" w:ascii="Times New Roman" w:hAnsi="Times New Roman" w:eastAsia="宋体" w:cs="Times New Roman"/>
                <w:kern w:val="0"/>
                <w:sz w:val="20"/>
                <w:szCs w:val="20"/>
              </w:rPr>
              <w:t>①第二轮“双一流”建设高校全日制本科毕业生；</w:t>
            </w:r>
          </w:p>
          <w:p>
            <w:pPr>
              <w:widowControl/>
              <w:spacing w:line="240" w:lineRule="exact"/>
              <w:jc w:val="left"/>
              <w:rPr>
                <w:rFonts w:hint="eastAsia" w:ascii="Times New Roman" w:hAnsi="Times New Roman" w:eastAsia="宋体" w:cs="Times New Roman"/>
                <w:kern w:val="0"/>
                <w:sz w:val="20"/>
                <w:szCs w:val="20"/>
              </w:rPr>
            </w:pPr>
            <w:r>
              <w:rPr>
                <w:rFonts w:hint="eastAsia" w:ascii="Times New Roman" w:hAnsi="Times New Roman" w:eastAsia="宋体" w:cs="Times New Roman"/>
                <w:kern w:val="0"/>
                <w:sz w:val="20"/>
                <w:szCs w:val="20"/>
              </w:rPr>
              <w:t>②国内高校全日制硕士研究生及以上学历毕业生；</w:t>
            </w:r>
          </w:p>
          <w:p>
            <w:pPr>
              <w:widowControl/>
              <w:spacing w:line="240" w:lineRule="exact"/>
              <w:jc w:val="left"/>
              <w:rPr>
                <w:rFonts w:hint="eastAsia" w:ascii="Times New Roman" w:hAnsi="Times New Roman" w:eastAsia="宋体" w:cs="Times New Roman"/>
                <w:kern w:val="0"/>
                <w:sz w:val="20"/>
                <w:szCs w:val="20"/>
              </w:rPr>
            </w:pPr>
            <w:r>
              <w:rPr>
                <w:rFonts w:hint="eastAsia" w:ascii="Times New Roman" w:hAnsi="Times New Roman" w:eastAsia="宋体" w:cs="Times New Roman"/>
                <w:kern w:val="0"/>
                <w:sz w:val="20"/>
                <w:szCs w:val="20"/>
              </w:rPr>
              <w:t>③最新世界大学排名榜单（QS、THE、U.S.News、ARWU、CWUR）前100名国（境）外高校的全日制硕士研究生及以上学历毕业生（本科须为国内高校全日制毕业生）。</w:t>
            </w:r>
          </w:p>
          <w:p>
            <w:pPr>
              <w:widowControl/>
              <w:spacing w:line="240" w:lineRule="exact"/>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2.拥有相关行业工作经验，持有专业资格证书者优先。</w:t>
            </w:r>
          </w:p>
        </w:tc>
        <w:tc>
          <w:tcPr>
            <w:tcW w:w="504" w:type="pct"/>
            <w:vMerge w:val="restart"/>
            <w:shd w:val="clear" w:color="auto" w:fill="auto"/>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报名网址：</w:t>
            </w:r>
            <w:r>
              <w:rPr>
                <w:rFonts w:hint="default" w:ascii="Times New Roman" w:hAnsi="Times New Roman" w:eastAsia="宋体" w:cs="Times New Roman"/>
                <w:color w:val="auto"/>
                <w:kern w:val="0"/>
                <w:sz w:val="20"/>
                <w:szCs w:val="20"/>
                <w:u w:val="none"/>
              </w:rPr>
              <w:fldChar w:fldCharType="begin"/>
            </w:r>
            <w:r>
              <w:rPr>
                <w:rFonts w:hint="default" w:ascii="Times New Roman" w:hAnsi="Times New Roman" w:eastAsia="宋体" w:cs="Times New Roman"/>
                <w:color w:val="auto"/>
                <w:kern w:val="0"/>
                <w:sz w:val="20"/>
                <w:szCs w:val="20"/>
                <w:u w:val="none"/>
              </w:rPr>
              <w:instrText xml:space="preserve"> HYPERLINK "http://www.tzjob.com" </w:instrText>
            </w:r>
            <w:r>
              <w:rPr>
                <w:rFonts w:hint="default" w:ascii="Times New Roman" w:hAnsi="Times New Roman" w:eastAsia="宋体" w:cs="Times New Roman"/>
                <w:color w:val="auto"/>
                <w:kern w:val="0"/>
                <w:sz w:val="20"/>
                <w:szCs w:val="20"/>
                <w:u w:val="none"/>
              </w:rPr>
              <w:fldChar w:fldCharType="separate"/>
            </w:r>
            <w:r>
              <w:rPr>
                <w:rStyle w:val="6"/>
                <w:rFonts w:hint="default" w:ascii="Times New Roman" w:hAnsi="Times New Roman" w:eastAsia="宋体" w:cs="Times New Roman"/>
                <w:color w:val="auto"/>
                <w:kern w:val="0"/>
                <w:sz w:val="20"/>
                <w:szCs w:val="20"/>
                <w:u w:val="none"/>
              </w:rPr>
              <w:t>www.tzjob.com</w:t>
            </w:r>
            <w:r>
              <w:rPr>
                <w:rFonts w:hint="default" w:ascii="Times New Roman" w:hAnsi="Times New Roman" w:eastAsia="宋体" w:cs="Times New Roman"/>
                <w:color w:val="auto"/>
                <w:kern w:val="0"/>
                <w:sz w:val="20"/>
                <w:szCs w:val="20"/>
                <w:u w:val="none"/>
              </w:rPr>
              <w:fldChar w:fldCharType="end"/>
            </w:r>
            <w:r>
              <w:rPr>
                <w:rFonts w:hint="default" w:ascii="Times New Roman" w:hAnsi="Times New Roman" w:eastAsia="宋体" w:cs="Times New Roman"/>
                <w:kern w:val="0"/>
                <w:sz w:val="20"/>
                <w:szCs w:val="20"/>
              </w:rPr>
              <w:t>电子邮箱：</w:t>
            </w:r>
            <w:r>
              <w:rPr>
                <w:rFonts w:hint="default" w:ascii="Times New Roman" w:hAnsi="Times New Roman" w:eastAsia="宋体" w:cs="Times New Roman"/>
                <w:color w:val="auto"/>
                <w:kern w:val="0"/>
                <w:sz w:val="20"/>
                <w:szCs w:val="20"/>
                <w:u w:val="none"/>
              </w:rPr>
              <w:fldChar w:fldCharType="begin"/>
            </w:r>
            <w:r>
              <w:rPr>
                <w:rFonts w:hint="default" w:ascii="Times New Roman" w:hAnsi="Times New Roman" w:eastAsia="宋体" w:cs="Times New Roman"/>
                <w:color w:val="auto"/>
                <w:kern w:val="0"/>
                <w:sz w:val="20"/>
                <w:szCs w:val="20"/>
                <w:u w:val="none"/>
              </w:rPr>
              <w:instrText xml:space="preserve"> HYPERLINK "mailto:xhqnrccbzx@126.com" </w:instrText>
            </w:r>
            <w:r>
              <w:rPr>
                <w:rFonts w:hint="default" w:ascii="Times New Roman" w:hAnsi="Times New Roman" w:eastAsia="宋体" w:cs="Times New Roman"/>
                <w:color w:val="auto"/>
                <w:kern w:val="0"/>
                <w:sz w:val="20"/>
                <w:szCs w:val="20"/>
                <w:u w:val="none"/>
              </w:rPr>
              <w:fldChar w:fldCharType="separate"/>
            </w:r>
            <w:r>
              <w:rPr>
                <w:rStyle w:val="6"/>
                <w:rFonts w:hint="default" w:ascii="Times New Roman" w:hAnsi="Times New Roman" w:eastAsia="宋体" w:cs="Times New Roman"/>
                <w:color w:val="auto"/>
                <w:kern w:val="0"/>
                <w:sz w:val="20"/>
                <w:szCs w:val="20"/>
                <w:u w:val="none"/>
              </w:rPr>
              <w:t>xhqnrccbzx@126.com</w:t>
            </w:r>
            <w:r>
              <w:rPr>
                <w:rFonts w:hint="default" w:ascii="Times New Roman" w:hAnsi="Times New Roman" w:eastAsia="宋体" w:cs="Times New Roman"/>
                <w:color w:val="auto"/>
                <w:kern w:val="0"/>
                <w:sz w:val="20"/>
                <w:szCs w:val="20"/>
                <w:u w:val="none"/>
              </w:rPr>
              <w:fldChar w:fldCharType="end"/>
            </w:r>
          </w:p>
          <w:p>
            <w:pPr>
              <w:widowControl/>
              <w:spacing w:line="240" w:lineRule="exact"/>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br w:type="page"/>
            </w:r>
            <w:r>
              <w:rPr>
                <w:rFonts w:hint="default" w:ascii="Times New Roman" w:hAnsi="Times New Roman" w:eastAsia="宋体" w:cs="Times New Roman"/>
                <w:kern w:val="0"/>
                <w:sz w:val="20"/>
                <w:szCs w:val="20"/>
              </w:rPr>
              <w:t>咨询电话：0523-83326196</w:t>
            </w:r>
          </w:p>
        </w:tc>
        <w:tc>
          <w:tcPr>
            <w:tcW w:w="182" w:type="pct"/>
            <w:vMerge w:val="restar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w:t>
            </w:r>
          </w:p>
        </w:tc>
        <w:tc>
          <w:tcPr>
            <w:tcW w:w="275" w:type="pct"/>
            <w:vMerge w:val="restar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结构化面试</w:t>
            </w:r>
            <w:r>
              <w:rPr>
                <w:rFonts w:ascii="Times New Roman" w:hAnsi="Times New Roman" w:eastAsia="宋体" w:cs="Times New Roman"/>
                <w:kern w:val="0"/>
                <w:sz w:val="20"/>
                <w:szCs w:val="20"/>
              </w:rPr>
              <w:t>+</w:t>
            </w:r>
            <w:r>
              <w:rPr>
                <w:rFonts w:hint="eastAsia" w:ascii="宋体" w:hAnsi="宋体" w:eastAsia="宋体" w:cs="Times New Roman"/>
                <w:kern w:val="0"/>
                <w:sz w:val="20"/>
                <w:szCs w:val="20"/>
              </w:rPr>
              <w:t>面谈</w:t>
            </w:r>
          </w:p>
        </w:tc>
        <w:tc>
          <w:tcPr>
            <w:tcW w:w="572" w:type="pct"/>
            <w:vMerge w:val="restart"/>
            <w:shd w:val="clear" w:color="auto" w:fill="auto"/>
            <w:tcMar>
              <w:top w:w="28" w:type="dxa"/>
              <w:left w:w="57" w:type="dxa"/>
              <w:bottom w:w="28" w:type="dxa"/>
              <w:right w:w="57" w:type="dxa"/>
            </w:tcMar>
            <w:vAlign w:val="center"/>
          </w:tcPr>
          <w:p>
            <w:pPr>
              <w:widowControl/>
              <w:numPr>
                <w:ilvl w:val="0"/>
                <w:numId w:val="0"/>
              </w:numPr>
              <w:spacing w:line="240" w:lineRule="exact"/>
              <w:jc w:val="left"/>
              <w:rPr>
                <w:rFonts w:hint="eastAsia" w:ascii="宋体" w:hAnsi="宋体" w:eastAsia="宋体" w:cs="Times New Roman"/>
                <w:color w:val="000000"/>
                <w:kern w:val="0"/>
                <w:sz w:val="20"/>
                <w:szCs w:val="20"/>
              </w:rPr>
            </w:pPr>
            <w:r>
              <w:rPr>
                <w:rFonts w:hint="eastAsia" w:ascii="宋体" w:hAnsi="宋体" w:eastAsia="宋体" w:cs="Times New Roman"/>
                <w:color w:val="000000"/>
                <w:kern w:val="0"/>
                <w:sz w:val="20"/>
                <w:szCs w:val="20"/>
                <w:lang w:val="en-US" w:eastAsia="zh-CN"/>
              </w:rPr>
              <w:t>1.</w:t>
            </w:r>
            <w:r>
              <w:rPr>
                <w:rFonts w:hint="eastAsia" w:ascii="宋体" w:hAnsi="宋体" w:eastAsia="宋体" w:cs="Times New Roman"/>
                <w:color w:val="000000"/>
                <w:kern w:val="0"/>
                <w:sz w:val="20"/>
                <w:szCs w:val="20"/>
              </w:rPr>
              <w:t>工作前</w:t>
            </w:r>
            <w:r>
              <w:rPr>
                <w:rFonts w:ascii="Times New Roman" w:hAnsi="Times New Roman" w:eastAsia="宋体" w:cs="Times New Roman"/>
                <w:color w:val="000000"/>
                <w:kern w:val="0"/>
                <w:sz w:val="20"/>
                <w:szCs w:val="20"/>
              </w:rPr>
              <w:t>5</w:t>
            </w:r>
            <w:r>
              <w:rPr>
                <w:rFonts w:hint="eastAsia" w:ascii="宋体" w:hAnsi="宋体" w:eastAsia="宋体" w:cs="Times New Roman"/>
                <w:color w:val="000000"/>
                <w:kern w:val="0"/>
                <w:sz w:val="20"/>
                <w:szCs w:val="20"/>
              </w:rPr>
              <w:t>年薪酬待遇</w:t>
            </w:r>
            <w:r>
              <w:rPr>
                <w:rFonts w:hint="eastAsia" w:ascii="宋体" w:hAnsi="宋体" w:eastAsia="宋体" w:cs="Times New Roman"/>
                <w:color w:val="000000"/>
                <w:kern w:val="0"/>
                <w:sz w:val="20"/>
                <w:szCs w:val="20"/>
                <w:lang w:val="en-US" w:eastAsia="zh-CN"/>
              </w:rPr>
              <w:t>不低于</w:t>
            </w:r>
            <w:r>
              <w:rPr>
                <w:rFonts w:hint="eastAsia" w:ascii="宋体" w:hAnsi="宋体" w:eastAsia="宋体" w:cs="Times New Roman"/>
                <w:color w:val="000000"/>
                <w:kern w:val="0"/>
                <w:sz w:val="20"/>
                <w:szCs w:val="20"/>
              </w:rPr>
              <w:t>同</w:t>
            </w:r>
            <w:r>
              <w:rPr>
                <w:rFonts w:hint="eastAsia" w:ascii="宋体" w:hAnsi="宋体" w:eastAsia="宋体" w:cs="Times New Roman"/>
                <w:color w:val="000000"/>
                <w:kern w:val="0"/>
                <w:sz w:val="20"/>
                <w:szCs w:val="20"/>
                <w:lang w:val="en-US" w:eastAsia="zh-CN"/>
              </w:rPr>
              <w:t>类</w:t>
            </w:r>
            <w:r>
              <w:rPr>
                <w:rFonts w:hint="eastAsia" w:ascii="宋体" w:hAnsi="宋体" w:eastAsia="宋体" w:cs="Times New Roman"/>
                <w:color w:val="000000"/>
                <w:kern w:val="0"/>
                <w:sz w:val="20"/>
                <w:szCs w:val="20"/>
              </w:rPr>
              <w:t>全额事业编制人员；</w:t>
            </w:r>
          </w:p>
          <w:p>
            <w:pPr>
              <w:widowControl/>
              <w:numPr>
                <w:ilvl w:val="0"/>
                <w:numId w:val="0"/>
              </w:numPr>
              <w:spacing w:line="240" w:lineRule="exact"/>
              <w:jc w:val="left"/>
              <w:rPr>
                <w:rFonts w:hint="eastAsia" w:ascii="宋体" w:hAnsi="宋体" w:eastAsia="宋体" w:cs="Times New Roman"/>
                <w:color w:val="000000"/>
                <w:kern w:val="0"/>
                <w:sz w:val="20"/>
                <w:szCs w:val="20"/>
              </w:rPr>
            </w:pPr>
            <w:r>
              <w:rPr>
                <w:rFonts w:ascii="Times New Roman" w:hAnsi="Times New Roman" w:eastAsia="宋体" w:cs="Times New Roman"/>
                <w:color w:val="000000"/>
                <w:kern w:val="0"/>
                <w:sz w:val="20"/>
                <w:szCs w:val="20"/>
              </w:rPr>
              <w:br w:type="page"/>
            </w:r>
            <w:r>
              <w:rPr>
                <w:rFonts w:ascii="Times New Roman" w:hAnsi="Times New Roman" w:eastAsia="宋体" w:cs="Times New Roman"/>
                <w:color w:val="000000"/>
                <w:kern w:val="0"/>
                <w:sz w:val="20"/>
                <w:szCs w:val="20"/>
              </w:rPr>
              <w:t>2.5</w:t>
            </w:r>
            <w:r>
              <w:rPr>
                <w:rFonts w:hint="eastAsia" w:ascii="宋体" w:hAnsi="宋体" w:eastAsia="宋体" w:cs="Times New Roman"/>
                <w:color w:val="000000"/>
                <w:kern w:val="0"/>
                <w:sz w:val="20"/>
                <w:szCs w:val="20"/>
              </w:rPr>
              <w:t>年内享受兴化市企业引进高层次人才有关待遇；</w:t>
            </w:r>
          </w:p>
          <w:p>
            <w:pPr>
              <w:widowControl/>
              <w:spacing w:line="240" w:lineRule="exac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br w:type="page"/>
            </w:r>
            <w:r>
              <w:rPr>
                <w:rFonts w:ascii="Times New Roman" w:hAnsi="Times New Roman" w:eastAsia="宋体" w:cs="Times New Roman"/>
                <w:color w:val="000000"/>
                <w:kern w:val="0"/>
                <w:sz w:val="20"/>
                <w:szCs w:val="20"/>
              </w:rPr>
              <w:t>3.</w:t>
            </w:r>
            <w:r>
              <w:rPr>
                <w:rFonts w:hint="eastAsia" w:ascii="宋体" w:hAnsi="宋体" w:eastAsia="宋体" w:cs="Times New Roman"/>
                <w:color w:val="000000"/>
                <w:kern w:val="0"/>
                <w:sz w:val="20"/>
                <w:szCs w:val="20"/>
              </w:rPr>
              <w:t>由兴化市委组织部跟踪管理，纳入优秀年轻干部库重点培养。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45" w:hRule="atLeast"/>
          <w:jc w:val="center"/>
        </w:trPr>
        <w:tc>
          <w:tcPr>
            <w:tcW w:w="275"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兴化市</w:t>
            </w:r>
          </w:p>
        </w:tc>
        <w:tc>
          <w:tcPr>
            <w:tcW w:w="21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3B</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兴化市属国有企业岗位</w:t>
            </w:r>
            <w:r>
              <w:rPr>
                <w:rFonts w:ascii="Times New Roman" w:hAnsi="Times New Roman" w:eastAsia="宋体" w:cs="Times New Roman"/>
                <w:color w:val="000000"/>
                <w:kern w:val="0"/>
                <w:sz w:val="20"/>
                <w:szCs w:val="20"/>
              </w:rPr>
              <w:t>3</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专业类</w:t>
            </w:r>
            <w:r>
              <w:rPr>
                <w:rFonts w:ascii="Times New Roman" w:hAnsi="Times New Roman" w:eastAsia="宋体" w:cs="Times New Roman"/>
                <w:color w:val="000000"/>
                <w:kern w:val="0"/>
                <w:sz w:val="20"/>
                <w:szCs w:val="20"/>
              </w:rPr>
              <w:t>3</w:t>
            </w:r>
          </w:p>
        </w:tc>
        <w:tc>
          <w:tcPr>
            <w:tcW w:w="229"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3B-3</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工作人员</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w:t>
            </w:r>
          </w:p>
        </w:tc>
        <w:tc>
          <w:tcPr>
            <w:tcW w:w="365"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本科及以上</w:t>
            </w:r>
          </w:p>
        </w:tc>
        <w:tc>
          <w:tcPr>
            <w:tcW w:w="687" w:type="pct"/>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民商法学，经济法学，法学，法律，经济法，民商法，法学（法务会计），信用风险管理与法律防控</w:t>
            </w:r>
          </w:p>
        </w:tc>
        <w:tc>
          <w:tcPr>
            <w:tcW w:w="689" w:type="pct"/>
            <w:vMerge w:val="continue"/>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504" w:type="pct"/>
            <w:vMerge w:val="continue"/>
            <w:shd w:val="clear" w:color="auto" w:fill="auto"/>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kern w:val="0"/>
                <w:sz w:val="20"/>
                <w:szCs w:val="20"/>
              </w:rPr>
            </w:pPr>
          </w:p>
        </w:tc>
        <w:tc>
          <w:tcPr>
            <w:tcW w:w="182" w:type="pct"/>
            <w:vMerge w:val="continue"/>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275" w:type="pct"/>
            <w:vMerge w:val="continue"/>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572" w:type="pct"/>
            <w:vMerge w:val="continue"/>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color w:val="000000"/>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275"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兴化市</w:t>
            </w:r>
          </w:p>
        </w:tc>
        <w:tc>
          <w:tcPr>
            <w:tcW w:w="21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3B</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兴化市属国有企业岗位</w:t>
            </w:r>
            <w:r>
              <w:rPr>
                <w:rFonts w:ascii="Times New Roman" w:hAnsi="Times New Roman" w:eastAsia="宋体" w:cs="Times New Roman"/>
                <w:color w:val="000000"/>
                <w:kern w:val="0"/>
                <w:sz w:val="20"/>
                <w:szCs w:val="20"/>
              </w:rPr>
              <w:t>4</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专业类</w:t>
            </w:r>
            <w:r>
              <w:rPr>
                <w:rFonts w:ascii="Times New Roman" w:hAnsi="Times New Roman" w:eastAsia="宋体" w:cs="Times New Roman"/>
                <w:kern w:val="0"/>
                <w:sz w:val="20"/>
                <w:szCs w:val="20"/>
              </w:rPr>
              <w:t>4</w:t>
            </w:r>
          </w:p>
        </w:tc>
        <w:tc>
          <w:tcPr>
            <w:tcW w:w="229"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3B-4</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工作人员</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w:t>
            </w:r>
          </w:p>
        </w:tc>
        <w:tc>
          <w:tcPr>
            <w:tcW w:w="365"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本科及以上</w:t>
            </w:r>
          </w:p>
        </w:tc>
        <w:tc>
          <w:tcPr>
            <w:tcW w:w="687" w:type="pct"/>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r>
              <w:rPr>
                <w:rFonts w:hint="eastAsia" w:ascii="宋体" w:hAnsi="宋体" w:eastAsia="宋体" w:cs="Times New Roman"/>
                <w:kern w:val="0"/>
                <w:sz w:val="20"/>
                <w:szCs w:val="20"/>
              </w:rPr>
              <w:t>市场营销，国际市场营销，市场营销教育，销售管理，商务策划管理</w:t>
            </w:r>
          </w:p>
        </w:tc>
        <w:tc>
          <w:tcPr>
            <w:tcW w:w="689" w:type="pct"/>
            <w:vMerge w:val="continue"/>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504" w:type="pct"/>
            <w:vMerge w:val="continue"/>
            <w:shd w:val="clear" w:color="auto" w:fill="auto"/>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kern w:val="0"/>
                <w:sz w:val="20"/>
                <w:szCs w:val="20"/>
              </w:rPr>
            </w:pPr>
          </w:p>
        </w:tc>
        <w:tc>
          <w:tcPr>
            <w:tcW w:w="182" w:type="pct"/>
            <w:vMerge w:val="continue"/>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275" w:type="pct"/>
            <w:vMerge w:val="continue"/>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572" w:type="pct"/>
            <w:vMerge w:val="continue"/>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color w:val="000000"/>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275"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海陵区</w:t>
            </w:r>
          </w:p>
        </w:tc>
        <w:tc>
          <w:tcPr>
            <w:tcW w:w="21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4B</w:t>
            </w:r>
          </w:p>
        </w:tc>
        <w:tc>
          <w:tcPr>
            <w:tcW w:w="319" w:type="pct"/>
            <w:vMerge w:val="restar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泰州海陵城市发展集团有限公司</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经济类</w:t>
            </w:r>
          </w:p>
        </w:tc>
        <w:tc>
          <w:tcPr>
            <w:tcW w:w="229"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4B-1</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投资租赁专员</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w:t>
            </w:r>
          </w:p>
        </w:tc>
        <w:tc>
          <w:tcPr>
            <w:tcW w:w="365"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本科及以上</w:t>
            </w:r>
          </w:p>
        </w:tc>
        <w:tc>
          <w:tcPr>
            <w:tcW w:w="687"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经济类</w:t>
            </w:r>
          </w:p>
        </w:tc>
        <w:tc>
          <w:tcPr>
            <w:tcW w:w="689" w:type="pct"/>
            <w:vMerge w:val="restart"/>
            <w:shd w:val="clear" w:color="auto" w:fill="auto"/>
            <w:tcMar>
              <w:top w:w="28" w:type="dxa"/>
              <w:left w:w="57" w:type="dxa"/>
              <w:bottom w:w="28" w:type="dxa"/>
              <w:right w:w="57" w:type="dxa"/>
            </w:tcMar>
            <w:vAlign w:val="center"/>
          </w:tcPr>
          <w:p>
            <w:pPr>
              <w:widowControl/>
              <w:spacing w:line="240" w:lineRule="exact"/>
              <w:jc w:val="left"/>
              <w:rPr>
                <w:rFonts w:ascii="宋体" w:hAnsi="宋体" w:eastAsia="宋体" w:cs="宋体"/>
                <w:color w:val="000000"/>
                <w:kern w:val="0"/>
                <w:sz w:val="20"/>
                <w:szCs w:val="20"/>
              </w:rPr>
            </w:pPr>
            <w:r>
              <w:rPr>
                <w:rFonts w:hint="eastAsia" w:ascii="Times New Roman" w:hAnsi="Times New Roman" w:eastAsia="宋体" w:cs="宋体"/>
                <w:color w:val="000000"/>
                <w:kern w:val="0"/>
                <w:sz w:val="20"/>
                <w:szCs w:val="20"/>
              </w:rPr>
              <w:t>1</w:t>
            </w:r>
            <w:r>
              <w:rPr>
                <w:rFonts w:hint="eastAsia" w:ascii="宋体" w:hAnsi="宋体" w:eastAsia="宋体" w:cs="宋体"/>
                <w:color w:val="000000"/>
                <w:kern w:val="0"/>
                <w:sz w:val="20"/>
                <w:szCs w:val="20"/>
              </w:rPr>
              <w:t>.须具有泰州市户籍（以报名截止日前本人、父母或配偶的户籍状态为准）。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lang w:val="en-US" w:eastAsia="zh-CN"/>
              </w:rPr>
              <w:t>2</w:t>
            </w:r>
            <w:r>
              <w:rPr>
                <w:rFonts w:hint="eastAsia" w:ascii="宋体" w:hAnsi="宋体" w:eastAsia="宋体" w:cs="宋体"/>
                <w:color w:val="000000"/>
                <w:kern w:val="0"/>
                <w:sz w:val="20"/>
                <w:szCs w:val="20"/>
              </w:rPr>
              <w:t>.毕业学校应具备以下条件之一：</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①第一轮“一流大学”建设高校全日制本科毕业生；</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②第二轮“双一流”建设高校全日制硕士研究生及以上学历毕业生（本科须为第二轮“双一流”建设高校全日制毕业生）；</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③最新世界大学排名榜单（</w:t>
            </w:r>
            <w:r>
              <w:rPr>
                <w:rFonts w:hint="eastAsia" w:ascii="Times New Roman" w:hAnsi="Times New Roman" w:eastAsia="宋体" w:cs="宋体"/>
                <w:color w:val="000000"/>
                <w:kern w:val="0"/>
                <w:sz w:val="20"/>
                <w:szCs w:val="20"/>
              </w:rPr>
              <w:t>QS</w:t>
            </w:r>
            <w:r>
              <w:rPr>
                <w:rFonts w:hint="eastAsia" w:ascii="宋体" w:hAnsi="宋体" w:eastAsia="宋体" w:cs="宋体"/>
                <w:color w:val="000000"/>
                <w:kern w:val="0"/>
                <w:sz w:val="20"/>
                <w:szCs w:val="20"/>
              </w:rPr>
              <w:t>、</w:t>
            </w:r>
            <w:r>
              <w:rPr>
                <w:rFonts w:hint="eastAsia" w:ascii="Times New Roman" w:hAnsi="Times New Roman" w:eastAsia="宋体" w:cs="宋体"/>
                <w:color w:val="000000"/>
                <w:kern w:val="0"/>
                <w:sz w:val="20"/>
                <w:szCs w:val="20"/>
              </w:rPr>
              <w:t>THE</w:t>
            </w:r>
            <w:r>
              <w:rPr>
                <w:rFonts w:hint="eastAsia" w:ascii="宋体" w:hAnsi="宋体" w:eastAsia="宋体" w:cs="宋体"/>
                <w:color w:val="000000"/>
                <w:kern w:val="0"/>
                <w:sz w:val="20"/>
                <w:szCs w:val="20"/>
              </w:rPr>
              <w:t>、</w:t>
            </w:r>
            <w:r>
              <w:rPr>
                <w:rFonts w:hint="eastAsia" w:ascii="Times New Roman" w:hAnsi="Times New Roman" w:eastAsia="宋体" w:cs="宋体"/>
                <w:color w:val="000000"/>
                <w:kern w:val="0"/>
                <w:sz w:val="20"/>
                <w:szCs w:val="20"/>
              </w:rPr>
              <w:t>U</w:t>
            </w:r>
            <w:r>
              <w:rPr>
                <w:rFonts w:hint="eastAsia" w:ascii="宋体" w:hAnsi="宋体" w:eastAsia="宋体" w:cs="宋体"/>
                <w:color w:val="000000"/>
                <w:kern w:val="0"/>
                <w:sz w:val="20"/>
                <w:szCs w:val="20"/>
              </w:rPr>
              <w:t>.</w:t>
            </w:r>
            <w:r>
              <w:rPr>
                <w:rFonts w:hint="eastAsia" w:ascii="Times New Roman" w:hAnsi="Times New Roman" w:eastAsia="宋体" w:cs="宋体"/>
                <w:color w:val="000000"/>
                <w:kern w:val="0"/>
                <w:sz w:val="20"/>
                <w:szCs w:val="20"/>
              </w:rPr>
              <w:t>S</w:t>
            </w:r>
            <w:r>
              <w:rPr>
                <w:rFonts w:hint="eastAsia" w:ascii="宋体" w:hAnsi="宋体" w:eastAsia="宋体" w:cs="宋体"/>
                <w:color w:val="000000"/>
                <w:kern w:val="0"/>
                <w:sz w:val="20"/>
                <w:szCs w:val="20"/>
              </w:rPr>
              <w:t>.</w:t>
            </w:r>
            <w:r>
              <w:rPr>
                <w:rFonts w:hint="eastAsia" w:ascii="Times New Roman" w:hAnsi="Times New Roman" w:eastAsia="宋体" w:cs="宋体"/>
                <w:color w:val="000000"/>
                <w:kern w:val="0"/>
                <w:sz w:val="20"/>
                <w:szCs w:val="20"/>
              </w:rPr>
              <w:t>NEWS</w:t>
            </w:r>
            <w:r>
              <w:rPr>
                <w:rFonts w:hint="eastAsia" w:ascii="宋体" w:hAnsi="宋体" w:eastAsia="宋体" w:cs="宋体"/>
                <w:color w:val="000000"/>
                <w:kern w:val="0"/>
                <w:sz w:val="20"/>
                <w:szCs w:val="20"/>
              </w:rPr>
              <w:t>、</w:t>
            </w:r>
            <w:r>
              <w:rPr>
                <w:rFonts w:hint="eastAsia" w:ascii="Times New Roman" w:hAnsi="Times New Roman" w:eastAsia="宋体" w:cs="宋体"/>
                <w:color w:val="000000"/>
                <w:kern w:val="0"/>
                <w:sz w:val="20"/>
                <w:szCs w:val="20"/>
              </w:rPr>
              <w:t>ARWU</w:t>
            </w:r>
            <w:r>
              <w:rPr>
                <w:rFonts w:hint="eastAsia" w:ascii="宋体" w:hAnsi="宋体" w:eastAsia="宋体" w:cs="宋体"/>
                <w:color w:val="000000"/>
                <w:kern w:val="0"/>
                <w:sz w:val="20"/>
                <w:szCs w:val="20"/>
              </w:rPr>
              <w:t>、</w:t>
            </w:r>
            <w:r>
              <w:rPr>
                <w:rFonts w:hint="eastAsia" w:ascii="Times New Roman" w:hAnsi="Times New Roman" w:eastAsia="宋体" w:cs="宋体"/>
                <w:color w:val="000000"/>
                <w:kern w:val="0"/>
                <w:sz w:val="20"/>
                <w:szCs w:val="20"/>
              </w:rPr>
              <w:t>CWUR</w:t>
            </w:r>
            <w:r>
              <w:rPr>
                <w:rFonts w:hint="eastAsia" w:ascii="宋体" w:hAnsi="宋体" w:eastAsia="宋体" w:cs="宋体"/>
                <w:color w:val="000000"/>
                <w:kern w:val="0"/>
                <w:sz w:val="20"/>
                <w:szCs w:val="20"/>
              </w:rPr>
              <w:t>）前</w:t>
            </w:r>
            <w:r>
              <w:rPr>
                <w:rFonts w:hint="eastAsia" w:ascii="Times New Roman" w:hAnsi="Times New Roman" w:eastAsia="宋体" w:cs="宋体"/>
                <w:color w:val="000000"/>
                <w:kern w:val="0"/>
                <w:sz w:val="20"/>
                <w:szCs w:val="20"/>
              </w:rPr>
              <w:t>100</w:t>
            </w:r>
            <w:r>
              <w:rPr>
                <w:rFonts w:hint="eastAsia" w:ascii="宋体" w:hAnsi="宋体" w:eastAsia="宋体" w:cs="宋体"/>
                <w:color w:val="000000"/>
                <w:kern w:val="0"/>
                <w:sz w:val="20"/>
                <w:szCs w:val="20"/>
              </w:rPr>
              <w:t>名国（境）外高校的全日制硕士研究生及以上学历毕业生（本科须为第二轮“双一流”建设高校全日制毕业生）。</w:t>
            </w:r>
          </w:p>
        </w:tc>
        <w:tc>
          <w:tcPr>
            <w:tcW w:w="504" w:type="pct"/>
            <w:vMerge w:val="restart"/>
            <w:shd w:val="clear" w:color="auto" w:fill="auto"/>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kern w:val="0"/>
                <w:sz w:val="20"/>
                <w:szCs w:val="20"/>
              </w:rPr>
              <w:t>报名网址：</w:t>
            </w:r>
            <w:r>
              <w:rPr>
                <w:rFonts w:hint="default" w:ascii="Times New Roman" w:hAnsi="Times New Roman" w:eastAsia="宋体" w:cs="Times New Roman"/>
                <w:color w:val="auto"/>
                <w:kern w:val="0"/>
                <w:sz w:val="20"/>
                <w:szCs w:val="20"/>
                <w:u w:val="none"/>
              </w:rPr>
              <w:fldChar w:fldCharType="begin"/>
            </w:r>
            <w:r>
              <w:rPr>
                <w:rFonts w:hint="default" w:ascii="Times New Roman" w:hAnsi="Times New Roman" w:eastAsia="宋体" w:cs="Times New Roman"/>
                <w:color w:val="auto"/>
                <w:kern w:val="0"/>
                <w:sz w:val="20"/>
                <w:szCs w:val="20"/>
                <w:u w:val="none"/>
              </w:rPr>
              <w:instrText xml:space="preserve"> HYPERLINK "http://www.tzjob.com" </w:instrText>
            </w:r>
            <w:r>
              <w:rPr>
                <w:rFonts w:hint="default" w:ascii="Times New Roman" w:hAnsi="Times New Roman" w:eastAsia="宋体" w:cs="Times New Roman"/>
                <w:color w:val="auto"/>
                <w:kern w:val="0"/>
                <w:sz w:val="20"/>
                <w:szCs w:val="20"/>
                <w:u w:val="none"/>
              </w:rPr>
              <w:fldChar w:fldCharType="separate"/>
            </w:r>
            <w:r>
              <w:rPr>
                <w:rStyle w:val="6"/>
                <w:rFonts w:hint="default" w:ascii="Times New Roman" w:hAnsi="Times New Roman" w:eastAsia="宋体" w:cs="Times New Roman"/>
                <w:color w:val="auto"/>
                <w:kern w:val="0"/>
                <w:sz w:val="20"/>
                <w:szCs w:val="20"/>
                <w:u w:val="none"/>
              </w:rPr>
              <w:t>www.tzjob.com</w:t>
            </w:r>
            <w:r>
              <w:rPr>
                <w:rFonts w:hint="default" w:ascii="Times New Roman" w:hAnsi="Times New Roman" w:eastAsia="宋体" w:cs="Times New Roman"/>
                <w:color w:val="auto"/>
                <w:kern w:val="0"/>
                <w:sz w:val="20"/>
                <w:szCs w:val="20"/>
                <w:u w:val="none"/>
              </w:rPr>
              <w:fldChar w:fldCharType="end"/>
            </w:r>
            <w:r>
              <w:rPr>
                <w:rFonts w:hint="default" w:ascii="Times New Roman" w:hAnsi="Times New Roman" w:eastAsia="宋体" w:cs="Times New Roman"/>
                <w:color w:val="000000"/>
                <w:kern w:val="0"/>
                <w:sz w:val="20"/>
                <w:szCs w:val="20"/>
              </w:rPr>
              <w:t>电子邮箱：hlnqgb@126.com</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咨询电话：0523-86221506</w:t>
            </w:r>
          </w:p>
        </w:tc>
        <w:tc>
          <w:tcPr>
            <w:tcW w:w="182" w:type="pct"/>
            <w:vMerge w:val="restar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w:t>
            </w:r>
          </w:p>
        </w:tc>
        <w:tc>
          <w:tcPr>
            <w:tcW w:w="275" w:type="pct"/>
            <w:vMerge w:val="restar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综合能力测试</w:t>
            </w:r>
          </w:p>
        </w:tc>
        <w:tc>
          <w:tcPr>
            <w:tcW w:w="572" w:type="pct"/>
            <w:vMerge w:val="restart"/>
            <w:shd w:val="clear" w:color="auto" w:fill="auto"/>
            <w:tcMar>
              <w:top w:w="28" w:type="dxa"/>
              <w:left w:w="57" w:type="dxa"/>
              <w:bottom w:w="28" w:type="dxa"/>
              <w:right w:w="57" w:type="dxa"/>
            </w:tcMar>
            <w:vAlign w:val="center"/>
          </w:tcPr>
          <w:p>
            <w:pPr>
              <w:widowControl/>
              <w:spacing w:line="240" w:lineRule="exact"/>
              <w:jc w:val="both"/>
              <w:rPr>
                <w:rFonts w:ascii="宋体" w:hAnsi="宋体" w:eastAsia="宋体" w:cs="宋体"/>
                <w:color w:val="000000"/>
                <w:kern w:val="0"/>
                <w:sz w:val="20"/>
                <w:szCs w:val="20"/>
              </w:rPr>
            </w:pPr>
            <w:r>
              <w:rPr>
                <w:rFonts w:hint="eastAsia" w:ascii="宋体" w:hAnsi="宋体" w:eastAsia="宋体" w:cs="宋体"/>
                <w:color w:val="000000"/>
                <w:kern w:val="0"/>
                <w:sz w:val="20"/>
                <w:szCs w:val="20"/>
              </w:rPr>
              <w:t>聘用人员工资待遇一般</w:t>
            </w:r>
            <w:r>
              <w:rPr>
                <w:rFonts w:hint="eastAsia" w:ascii="宋体" w:hAnsi="宋体" w:eastAsia="宋体" w:cs="宋体"/>
                <w:color w:val="000000"/>
                <w:kern w:val="0"/>
                <w:sz w:val="20"/>
                <w:szCs w:val="20"/>
                <w:lang w:val="en-US" w:eastAsia="zh-CN"/>
              </w:rPr>
              <w:t>不低于本地区同类</w:t>
            </w:r>
            <w:r>
              <w:rPr>
                <w:rFonts w:hint="eastAsia" w:ascii="宋体" w:hAnsi="宋体" w:eastAsia="宋体" w:cs="宋体"/>
                <w:color w:val="000000"/>
                <w:kern w:val="0"/>
                <w:sz w:val="20"/>
                <w:szCs w:val="20"/>
              </w:rPr>
              <w:t>事业人员，按照相关政策规定享受人才待遇。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275"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海陵区</w:t>
            </w:r>
          </w:p>
        </w:tc>
        <w:tc>
          <w:tcPr>
            <w:tcW w:w="21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4B</w:t>
            </w:r>
          </w:p>
        </w:tc>
        <w:tc>
          <w:tcPr>
            <w:tcW w:w="319"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color w:val="000000"/>
                <w:kern w:val="0"/>
                <w:sz w:val="20"/>
                <w:szCs w:val="20"/>
              </w:rPr>
            </w:pP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审计类</w:t>
            </w:r>
          </w:p>
        </w:tc>
        <w:tc>
          <w:tcPr>
            <w:tcW w:w="229"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4B-2</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审计专员</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w:t>
            </w:r>
          </w:p>
        </w:tc>
        <w:tc>
          <w:tcPr>
            <w:tcW w:w="365"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本科及以上</w:t>
            </w:r>
          </w:p>
        </w:tc>
        <w:tc>
          <w:tcPr>
            <w:tcW w:w="687"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审计类</w:t>
            </w:r>
          </w:p>
        </w:tc>
        <w:tc>
          <w:tcPr>
            <w:tcW w:w="689"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color w:val="000000"/>
                <w:kern w:val="0"/>
                <w:sz w:val="20"/>
                <w:szCs w:val="20"/>
              </w:rPr>
            </w:pPr>
          </w:p>
        </w:tc>
        <w:tc>
          <w:tcPr>
            <w:tcW w:w="504" w:type="pct"/>
            <w:vMerge w:val="continue"/>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color w:val="000000"/>
                <w:kern w:val="0"/>
                <w:sz w:val="20"/>
                <w:szCs w:val="20"/>
              </w:rPr>
            </w:pPr>
          </w:p>
        </w:tc>
        <w:tc>
          <w:tcPr>
            <w:tcW w:w="182" w:type="pct"/>
            <w:vMerge w:val="continue"/>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color w:val="000000"/>
                <w:kern w:val="0"/>
                <w:sz w:val="20"/>
                <w:szCs w:val="20"/>
              </w:rPr>
            </w:pPr>
          </w:p>
        </w:tc>
        <w:tc>
          <w:tcPr>
            <w:tcW w:w="275"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color w:val="000000"/>
                <w:kern w:val="0"/>
                <w:sz w:val="20"/>
                <w:szCs w:val="20"/>
              </w:rPr>
            </w:pPr>
          </w:p>
        </w:tc>
        <w:tc>
          <w:tcPr>
            <w:tcW w:w="572"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color w:val="000000"/>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275"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海陵区</w:t>
            </w:r>
          </w:p>
        </w:tc>
        <w:tc>
          <w:tcPr>
            <w:tcW w:w="21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4B</w:t>
            </w:r>
          </w:p>
        </w:tc>
        <w:tc>
          <w:tcPr>
            <w:tcW w:w="319"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color w:val="000000"/>
                <w:kern w:val="0"/>
                <w:sz w:val="20"/>
                <w:szCs w:val="20"/>
              </w:rPr>
            </w:pP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商务贸易类</w:t>
            </w:r>
          </w:p>
        </w:tc>
        <w:tc>
          <w:tcPr>
            <w:tcW w:w="229"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4B-3</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商务贸易专员</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w:t>
            </w:r>
          </w:p>
        </w:tc>
        <w:tc>
          <w:tcPr>
            <w:tcW w:w="365"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本科及以上</w:t>
            </w:r>
          </w:p>
        </w:tc>
        <w:tc>
          <w:tcPr>
            <w:tcW w:w="687"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商务贸易类</w:t>
            </w:r>
          </w:p>
        </w:tc>
        <w:tc>
          <w:tcPr>
            <w:tcW w:w="689"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color w:val="000000"/>
                <w:kern w:val="0"/>
                <w:sz w:val="20"/>
                <w:szCs w:val="20"/>
              </w:rPr>
            </w:pPr>
          </w:p>
        </w:tc>
        <w:tc>
          <w:tcPr>
            <w:tcW w:w="504" w:type="pct"/>
            <w:vMerge w:val="continue"/>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color w:val="000000"/>
                <w:kern w:val="0"/>
                <w:sz w:val="20"/>
                <w:szCs w:val="20"/>
              </w:rPr>
            </w:pPr>
          </w:p>
        </w:tc>
        <w:tc>
          <w:tcPr>
            <w:tcW w:w="182" w:type="pct"/>
            <w:vMerge w:val="continue"/>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color w:val="000000"/>
                <w:kern w:val="0"/>
                <w:sz w:val="20"/>
                <w:szCs w:val="20"/>
              </w:rPr>
            </w:pPr>
          </w:p>
        </w:tc>
        <w:tc>
          <w:tcPr>
            <w:tcW w:w="275"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color w:val="000000"/>
                <w:kern w:val="0"/>
                <w:sz w:val="20"/>
                <w:szCs w:val="20"/>
              </w:rPr>
            </w:pPr>
          </w:p>
        </w:tc>
        <w:tc>
          <w:tcPr>
            <w:tcW w:w="572"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color w:val="000000"/>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275"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海陵区</w:t>
            </w:r>
          </w:p>
        </w:tc>
        <w:tc>
          <w:tcPr>
            <w:tcW w:w="21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4B</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泰州东部新城发展集团有限公司</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经济类、财务财会类</w:t>
            </w:r>
          </w:p>
        </w:tc>
        <w:tc>
          <w:tcPr>
            <w:tcW w:w="229"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4B-4</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投融资专员</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w:t>
            </w:r>
          </w:p>
        </w:tc>
        <w:tc>
          <w:tcPr>
            <w:tcW w:w="365"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本科及以上</w:t>
            </w:r>
          </w:p>
        </w:tc>
        <w:tc>
          <w:tcPr>
            <w:tcW w:w="687"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经济类、财务财会类</w:t>
            </w:r>
          </w:p>
        </w:tc>
        <w:tc>
          <w:tcPr>
            <w:tcW w:w="689"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color w:val="000000"/>
                <w:kern w:val="0"/>
                <w:sz w:val="20"/>
                <w:szCs w:val="20"/>
              </w:rPr>
            </w:pPr>
          </w:p>
        </w:tc>
        <w:tc>
          <w:tcPr>
            <w:tcW w:w="504" w:type="pct"/>
            <w:vMerge w:val="continue"/>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color w:val="000000"/>
                <w:kern w:val="0"/>
                <w:sz w:val="20"/>
                <w:szCs w:val="20"/>
              </w:rPr>
            </w:pPr>
          </w:p>
        </w:tc>
        <w:tc>
          <w:tcPr>
            <w:tcW w:w="182" w:type="pct"/>
            <w:vMerge w:val="continue"/>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color w:val="000000"/>
                <w:kern w:val="0"/>
                <w:sz w:val="20"/>
                <w:szCs w:val="20"/>
              </w:rPr>
            </w:pPr>
          </w:p>
        </w:tc>
        <w:tc>
          <w:tcPr>
            <w:tcW w:w="275"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color w:val="000000"/>
                <w:kern w:val="0"/>
                <w:sz w:val="20"/>
                <w:szCs w:val="20"/>
              </w:rPr>
            </w:pPr>
          </w:p>
        </w:tc>
        <w:tc>
          <w:tcPr>
            <w:tcW w:w="572"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color w:val="000000"/>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18" w:hRule="atLeast"/>
          <w:jc w:val="center"/>
        </w:trPr>
        <w:tc>
          <w:tcPr>
            <w:tcW w:w="275"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海陵区</w:t>
            </w:r>
          </w:p>
        </w:tc>
        <w:tc>
          <w:tcPr>
            <w:tcW w:w="21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4B</w:t>
            </w:r>
          </w:p>
        </w:tc>
        <w:tc>
          <w:tcPr>
            <w:tcW w:w="319" w:type="pct"/>
            <w:vMerge w:val="restar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泰州海能新能源集团有限公司</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法律类、审计类</w:t>
            </w:r>
          </w:p>
        </w:tc>
        <w:tc>
          <w:tcPr>
            <w:tcW w:w="229"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4B-5</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审计法务专员</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w:t>
            </w:r>
          </w:p>
        </w:tc>
        <w:tc>
          <w:tcPr>
            <w:tcW w:w="365"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本科及以上</w:t>
            </w:r>
          </w:p>
        </w:tc>
        <w:tc>
          <w:tcPr>
            <w:tcW w:w="687" w:type="pct"/>
            <w:shd w:val="clear" w:color="auto" w:fill="auto"/>
            <w:tcMar>
              <w:top w:w="28" w:type="dxa"/>
              <w:left w:w="57" w:type="dxa"/>
              <w:bottom w:w="28" w:type="dxa"/>
              <w:right w:w="57" w:type="dxa"/>
            </w:tcMar>
            <w:vAlign w:val="center"/>
          </w:tcPr>
          <w:p>
            <w:pPr>
              <w:widowControl/>
              <w:spacing w:line="240" w:lineRule="exact"/>
              <w:jc w:val="both"/>
              <w:rPr>
                <w:rFonts w:ascii="宋体" w:hAnsi="宋体" w:eastAsia="宋体" w:cs="宋体"/>
                <w:color w:val="000000"/>
                <w:kern w:val="0"/>
                <w:sz w:val="20"/>
                <w:szCs w:val="20"/>
              </w:rPr>
            </w:pPr>
            <w:r>
              <w:rPr>
                <w:rFonts w:hint="eastAsia" w:ascii="宋体" w:hAnsi="宋体" w:eastAsia="宋体" w:cs="宋体"/>
                <w:color w:val="000000"/>
                <w:kern w:val="0"/>
                <w:sz w:val="20"/>
                <w:szCs w:val="20"/>
              </w:rPr>
              <w:t>法学、国际法、国际经济法、法学理论、法律史、审计学、财务会计与审计</w:t>
            </w:r>
          </w:p>
        </w:tc>
        <w:tc>
          <w:tcPr>
            <w:tcW w:w="689"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color w:val="000000"/>
                <w:kern w:val="0"/>
                <w:sz w:val="20"/>
                <w:szCs w:val="20"/>
              </w:rPr>
            </w:pPr>
          </w:p>
        </w:tc>
        <w:tc>
          <w:tcPr>
            <w:tcW w:w="504" w:type="pct"/>
            <w:vMerge w:val="continue"/>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color w:val="000000"/>
                <w:kern w:val="0"/>
                <w:sz w:val="20"/>
                <w:szCs w:val="20"/>
              </w:rPr>
            </w:pPr>
          </w:p>
        </w:tc>
        <w:tc>
          <w:tcPr>
            <w:tcW w:w="182" w:type="pct"/>
            <w:vMerge w:val="continue"/>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color w:val="000000"/>
                <w:kern w:val="0"/>
                <w:sz w:val="20"/>
                <w:szCs w:val="20"/>
              </w:rPr>
            </w:pPr>
          </w:p>
        </w:tc>
        <w:tc>
          <w:tcPr>
            <w:tcW w:w="275"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color w:val="000000"/>
                <w:kern w:val="0"/>
                <w:sz w:val="20"/>
                <w:szCs w:val="20"/>
              </w:rPr>
            </w:pPr>
          </w:p>
        </w:tc>
        <w:tc>
          <w:tcPr>
            <w:tcW w:w="572"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color w:val="000000"/>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92" w:hRule="atLeast"/>
          <w:jc w:val="center"/>
        </w:trPr>
        <w:tc>
          <w:tcPr>
            <w:tcW w:w="275"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海陵区</w:t>
            </w:r>
          </w:p>
        </w:tc>
        <w:tc>
          <w:tcPr>
            <w:tcW w:w="21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4B</w:t>
            </w:r>
          </w:p>
        </w:tc>
        <w:tc>
          <w:tcPr>
            <w:tcW w:w="319"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color w:val="000000"/>
                <w:kern w:val="0"/>
                <w:sz w:val="20"/>
                <w:szCs w:val="20"/>
              </w:rPr>
            </w:pP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经济类、财务财会类、商务贸易类、统计类</w:t>
            </w:r>
          </w:p>
        </w:tc>
        <w:tc>
          <w:tcPr>
            <w:tcW w:w="229"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4B-6</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投融资专员</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w:t>
            </w:r>
          </w:p>
        </w:tc>
        <w:tc>
          <w:tcPr>
            <w:tcW w:w="365"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本科及以上</w:t>
            </w:r>
          </w:p>
        </w:tc>
        <w:tc>
          <w:tcPr>
            <w:tcW w:w="687" w:type="pct"/>
            <w:shd w:val="clear" w:color="auto" w:fill="auto"/>
            <w:tcMar>
              <w:top w:w="28" w:type="dxa"/>
              <w:left w:w="57" w:type="dxa"/>
              <w:bottom w:w="28" w:type="dxa"/>
              <w:right w:w="57" w:type="dxa"/>
            </w:tcMar>
            <w:vAlign w:val="center"/>
          </w:tcPr>
          <w:p>
            <w:pPr>
              <w:widowControl/>
              <w:spacing w:line="240" w:lineRule="exact"/>
              <w:jc w:val="both"/>
              <w:rPr>
                <w:rFonts w:ascii="宋体" w:hAnsi="宋体" w:eastAsia="宋体" w:cs="宋体"/>
                <w:color w:val="000000"/>
                <w:kern w:val="0"/>
                <w:sz w:val="20"/>
                <w:szCs w:val="20"/>
              </w:rPr>
            </w:pPr>
            <w:r>
              <w:rPr>
                <w:rFonts w:hint="eastAsia" w:ascii="宋体" w:hAnsi="宋体" w:eastAsia="宋体" w:cs="宋体"/>
                <w:color w:val="000000"/>
                <w:kern w:val="0"/>
                <w:sz w:val="20"/>
                <w:szCs w:val="20"/>
              </w:rPr>
              <w:t>经济学、财政学、金融学、会计学、财务管理、国际经济与贸易、财政学、统计学、系统理论</w:t>
            </w:r>
          </w:p>
        </w:tc>
        <w:tc>
          <w:tcPr>
            <w:tcW w:w="689"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color w:val="000000"/>
                <w:kern w:val="0"/>
                <w:sz w:val="20"/>
                <w:szCs w:val="20"/>
              </w:rPr>
            </w:pPr>
          </w:p>
        </w:tc>
        <w:tc>
          <w:tcPr>
            <w:tcW w:w="504" w:type="pct"/>
            <w:vMerge w:val="continue"/>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color w:val="000000"/>
                <w:kern w:val="0"/>
                <w:sz w:val="20"/>
                <w:szCs w:val="20"/>
              </w:rPr>
            </w:pPr>
          </w:p>
        </w:tc>
        <w:tc>
          <w:tcPr>
            <w:tcW w:w="182" w:type="pct"/>
            <w:vMerge w:val="continue"/>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color w:val="000000"/>
                <w:kern w:val="0"/>
                <w:sz w:val="20"/>
                <w:szCs w:val="20"/>
              </w:rPr>
            </w:pPr>
          </w:p>
        </w:tc>
        <w:tc>
          <w:tcPr>
            <w:tcW w:w="275"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color w:val="000000"/>
                <w:kern w:val="0"/>
                <w:sz w:val="20"/>
                <w:szCs w:val="20"/>
              </w:rPr>
            </w:pPr>
          </w:p>
        </w:tc>
        <w:tc>
          <w:tcPr>
            <w:tcW w:w="572"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color w:val="000000"/>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94" w:hRule="atLeast"/>
          <w:jc w:val="center"/>
        </w:trPr>
        <w:tc>
          <w:tcPr>
            <w:tcW w:w="275"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姜堰区</w:t>
            </w:r>
          </w:p>
        </w:tc>
        <w:tc>
          <w:tcPr>
            <w:tcW w:w="21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5B</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泰州市</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金东城投等</w:t>
            </w:r>
            <w:r>
              <w:rPr>
                <w:rFonts w:hint="eastAsia" w:ascii="Times New Roman" w:hAnsi="Times New Roman" w:eastAsia="宋体" w:cs="宋体"/>
                <w:kern w:val="0"/>
                <w:sz w:val="20"/>
                <w:szCs w:val="20"/>
              </w:rPr>
              <w:t>5</w:t>
            </w:r>
            <w:r>
              <w:rPr>
                <w:rFonts w:hint="eastAsia" w:ascii="宋体" w:hAnsi="宋体" w:eastAsia="宋体" w:cs="宋体"/>
                <w:kern w:val="0"/>
                <w:sz w:val="20"/>
                <w:szCs w:val="20"/>
              </w:rPr>
              <w:t>家国企单位</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经济类</w:t>
            </w:r>
          </w:p>
        </w:tc>
        <w:tc>
          <w:tcPr>
            <w:tcW w:w="229"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5B-1</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工作人员</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365"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本科及以上</w:t>
            </w:r>
          </w:p>
        </w:tc>
        <w:tc>
          <w:tcPr>
            <w:tcW w:w="687" w:type="pct"/>
            <w:shd w:val="clear" w:color="auto" w:fill="auto"/>
            <w:tcMar>
              <w:top w:w="28" w:type="dxa"/>
              <w:left w:w="57" w:type="dxa"/>
              <w:bottom w:w="28" w:type="dxa"/>
              <w:right w:w="57" w:type="dxa"/>
            </w:tcMar>
            <w:vAlign w:val="center"/>
          </w:tcPr>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经济学、金融学、经济与金融、保险学、金融数学、大数据与审计、会计、财政学、数量经济学、金融工程、税务、产业经济学、统计学、应用经济学、理论经济学</w:t>
            </w:r>
          </w:p>
        </w:tc>
        <w:tc>
          <w:tcPr>
            <w:tcW w:w="689" w:type="pct"/>
            <w:vMerge w:val="restart"/>
            <w:shd w:val="clear" w:color="auto" w:fill="auto"/>
            <w:tcMar>
              <w:top w:w="28" w:type="dxa"/>
              <w:left w:w="57" w:type="dxa"/>
              <w:bottom w:w="28" w:type="dxa"/>
              <w:right w:w="57" w:type="dxa"/>
            </w:tcMar>
            <w:vAlign w:val="center"/>
          </w:tcPr>
          <w:p>
            <w:pPr>
              <w:widowControl/>
              <w:spacing w:line="240" w:lineRule="exact"/>
              <w:jc w:val="left"/>
              <w:rPr>
                <w:rFonts w:hint="eastAsia" w:ascii="宋体" w:hAnsi="宋体" w:eastAsia="宋体" w:cs="宋体"/>
                <w:kern w:val="0"/>
                <w:sz w:val="20"/>
                <w:szCs w:val="20"/>
              </w:rPr>
            </w:pPr>
            <w:r>
              <w:rPr>
                <w:rFonts w:hint="eastAsia" w:ascii="宋体" w:hAnsi="宋体" w:eastAsia="宋体" w:cs="宋体"/>
                <w:kern w:val="0"/>
                <w:sz w:val="20"/>
                <w:szCs w:val="20"/>
              </w:rPr>
              <w:t>应具备以下条件之一：</w:t>
            </w:r>
            <w:r>
              <w:rPr>
                <w:rFonts w:hint="eastAsia" w:ascii="宋体" w:hAnsi="宋体" w:eastAsia="宋体" w:cs="宋体"/>
                <w:kern w:val="0"/>
                <w:sz w:val="20"/>
                <w:szCs w:val="20"/>
              </w:rPr>
              <w:br w:type="page"/>
            </w:r>
            <w:r>
              <w:rPr>
                <w:rFonts w:hint="eastAsia" w:ascii="宋体" w:hAnsi="宋体" w:eastAsia="宋体" w:cs="宋体"/>
                <w:kern w:val="0"/>
                <w:sz w:val="20"/>
                <w:szCs w:val="20"/>
              </w:rPr>
              <w:t>①第二轮“双一流”建设高校全日制本科及以上学历毕业生；</w:t>
            </w:r>
          </w:p>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br w:type="page"/>
            </w:r>
            <w:r>
              <w:rPr>
                <w:rFonts w:hint="eastAsia" w:ascii="宋体" w:hAnsi="宋体" w:eastAsia="宋体" w:cs="宋体"/>
                <w:kern w:val="0"/>
                <w:sz w:val="20"/>
                <w:szCs w:val="20"/>
              </w:rPr>
              <w:t>②最新世界大学排名榜单（</w:t>
            </w:r>
            <w:r>
              <w:rPr>
                <w:rFonts w:hint="eastAsia" w:ascii="Times New Roman" w:hAnsi="Times New Roman" w:eastAsia="宋体" w:cs="宋体"/>
                <w:kern w:val="0"/>
                <w:sz w:val="20"/>
                <w:szCs w:val="20"/>
              </w:rPr>
              <w:t>QS</w:t>
            </w:r>
            <w:r>
              <w:rPr>
                <w:rFonts w:hint="eastAsia" w:ascii="宋体" w:hAnsi="宋体" w:eastAsia="宋体" w:cs="宋体"/>
                <w:kern w:val="0"/>
                <w:sz w:val="20"/>
                <w:szCs w:val="20"/>
              </w:rPr>
              <w:t>、</w:t>
            </w:r>
            <w:r>
              <w:rPr>
                <w:rFonts w:hint="eastAsia" w:ascii="Times New Roman" w:hAnsi="Times New Roman" w:eastAsia="宋体" w:cs="宋体"/>
                <w:kern w:val="0"/>
                <w:sz w:val="20"/>
                <w:szCs w:val="20"/>
              </w:rPr>
              <w:t>THE</w:t>
            </w:r>
            <w:r>
              <w:rPr>
                <w:rFonts w:hint="eastAsia" w:ascii="宋体" w:hAnsi="宋体" w:eastAsia="宋体" w:cs="宋体"/>
                <w:kern w:val="0"/>
                <w:sz w:val="20"/>
                <w:szCs w:val="20"/>
              </w:rPr>
              <w:t>、</w:t>
            </w:r>
            <w:r>
              <w:rPr>
                <w:rFonts w:hint="eastAsia" w:ascii="Times New Roman" w:hAnsi="Times New Roman" w:eastAsia="宋体" w:cs="宋体"/>
                <w:kern w:val="0"/>
                <w:sz w:val="20"/>
                <w:szCs w:val="20"/>
              </w:rPr>
              <w:t>U</w:t>
            </w:r>
            <w:r>
              <w:rPr>
                <w:rFonts w:hint="eastAsia" w:ascii="宋体" w:hAnsi="宋体" w:eastAsia="宋体" w:cs="宋体"/>
                <w:kern w:val="0"/>
                <w:sz w:val="20"/>
                <w:szCs w:val="20"/>
              </w:rPr>
              <w:t>.</w:t>
            </w:r>
            <w:r>
              <w:rPr>
                <w:rFonts w:hint="eastAsia" w:ascii="Times New Roman" w:hAnsi="Times New Roman" w:eastAsia="宋体" w:cs="宋体"/>
                <w:kern w:val="0"/>
                <w:sz w:val="20"/>
                <w:szCs w:val="20"/>
              </w:rPr>
              <w:t>S</w:t>
            </w:r>
            <w:r>
              <w:rPr>
                <w:rFonts w:hint="eastAsia" w:ascii="宋体" w:hAnsi="宋体" w:eastAsia="宋体" w:cs="宋体"/>
                <w:kern w:val="0"/>
                <w:sz w:val="20"/>
                <w:szCs w:val="20"/>
              </w:rPr>
              <w:t>.</w:t>
            </w:r>
            <w:r>
              <w:rPr>
                <w:rFonts w:hint="eastAsia" w:ascii="Times New Roman" w:hAnsi="Times New Roman" w:eastAsia="宋体" w:cs="宋体"/>
                <w:kern w:val="0"/>
                <w:sz w:val="20"/>
                <w:szCs w:val="20"/>
              </w:rPr>
              <w:t>NEWS</w:t>
            </w:r>
            <w:r>
              <w:rPr>
                <w:rFonts w:hint="eastAsia" w:ascii="宋体" w:hAnsi="宋体" w:eastAsia="宋体" w:cs="宋体"/>
                <w:kern w:val="0"/>
                <w:sz w:val="20"/>
                <w:szCs w:val="20"/>
              </w:rPr>
              <w:t>、</w:t>
            </w:r>
            <w:r>
              <w:rPr>
                <w:rFonts w:hint="eastAsia" w:ascii="Times New Roman" w:hAnsi="Times New Roman" w:eastAsia="宋体" w:cs="宋体"/>
                <w:kern w:val="0"/>
                <w:sz w:val="20"/>
                <w:szCs w:val="20"/>
              </w:rPr>
              <w:t>ARWU</w:t>
            </w:r>
            <w:r>
              <w:rPr>
                <w:rFonts w:hint="eastAsia" w:ascii="宋体" w:hAnsi="宋体" w:eastAsia="宋体" w:cs="宋体"/>
                <w:kern w:val="0"/>
                <w:sz w:val="20"/>
                <w:szCs w:val="20"/>
              </w:rPr>
              <w:t>、</w:t>
            </w:r>
            <w:r>
              <w:rPr>
                <w:rFonts w:hint="eastAsia" w:ascii="Times New Roman" w:hAnsi="Times New Roman" w:eastAsia="宋体" w:cs="宋体"/>
                <w:kern w:val="0"/>
                <w:sz w:val="20"/>
                <w:szCs w:val="20"/>
              </w:rPr>
              <w:t>CWUR</w:t>
            </w:r>
            <w:r>
              <w:rPr>
                <w:rFonts w:hint="eastAsia" w:ascii="宋体" w:hAnsi="宋体" w:eastAsia="宋体" w:cs="宋体"/>
                <w:kern w:val="0"/>
                <w:sz w:val="20"/>
                <w:szCs w:val="20"/>
              </w:rPr>
              <w:t>）前</w:t>
            </w:r>
            <w:r>
              <w:rPr>
                <w:rFonts w:hint="eastAsia" w:ascii="Times New Roman" w:hAnsi="Times New Roman" w:eastAsia="宋体" w:cs="宋体"/>
                <w:color w:val="FF0000"/>
                <w:kern w:val="0"/>
                <w:sz w:val="20"/>
                <w:szCs w:val="20"/>
              </w:rPr>
              <w:t>200</w:t>
            </w:r>
            <w:r>
              <w:rPr>
                <w:rFonts w:hint="eastAsia" w:ascii="宋体" w:hAnsi="宋体" w:eastAsia="宋体" w:cs="宋体"/>
                <w:color w:val="FF0000"/>
                <w:kern w:val="0"/>
                <w:sz w:val="20"/>
                <w:szCs w:val="20"/>
              </w:rPr>
              <w:t>名</w:t>
            </w:r>
            <w:r>
              <w:rPr>
                <w:rFonts w:hint="eastAsia" w:ascii="宋体" w:hAnsi="宋体" w:eastAsia="宋体" w:cs="宋体"/>
                <w:kern w:val="0"/>
                <w:sz w:val="20"/>
                <w:szCs w:val="20"/>
              </w:rPr>
              <w:t>国（境）外高校的全日制硕士研究生及以上学历毕业生。</w:t>
            </w:r>
            <w:r>
              <w:rPr>
                <w:rFonts w:hint="eastAsia" w:ascii="宋体" w:hAnsi="宋体" w:eastAsia="宋体" w:cs="宋体"/>
                <w:kern w:val="0"/>
                <w:sz w:val="20"/>
                <w:szCs w:val="20"/>
              </w:rPr>
              <w:br w:type="page"/>
            </w:r>
            <w:r>
              <w:rPr>
                <w:rFonts w:hint="eastAsia" w:ascii="宋体" w:hAnsi="宋体" w:eastAsia="宋体" w:cs="宋体"/>
                <w:kern w:val="0"/>
                <w:sz w:val="20"/>
                <w:szCs w:val="20"/>
              </w:rPr>
              <w:br w:type="page"/>
            </w:r>
            <w:r>
              <w:rPr>
                <w:rFonts w:ascii="Times New Roman" w:hAnsi="Times New Roman" w:eastAsia="宋体" w:cs="Times New Roman"/>
                <w:kern w:val="0"/>
                <w:sz w:val="20"/>
                <w:szCs w:val="20"/>
              </w:rPr>
              <w:br w:type="page"/>
            </w:r>
          </w:p>
        </w:tc>
        <w:tc>
          <w:tcPr>
            <w:tcW w:w="504" w:type="pct"/>
            <w:vMerge w:val="restart"/>
            <w:shd w:val="clear" w:color="auto" w:fill="auto"/>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报名网址：</w:t>
            </w:r>
            <w:r>
              <w:rPr>
                <w:rFonts w:hint="default" w:ascii="Times New Roman" w:hAnsi="Times New Roman" w:eastAsia="宋体" w:cs="Times New Roman"/>
                <w:color w:val="auto"/>
                <w:kern w:val="0"/>
                <w:sz w:val="20"/>
                <w:szCs w:val="20"/>
                <w:u w:val="none"/>
              </w:rPr>
              <w:fldChar w:fldCharType="begin"/>
            </w:r>
            <w:r>
              <w:rPr>
                <w:rFonts w:hint="default" w:ascii="Times New Roman" w:hAnsi="Times New Roman" w:eastAsia="宋体" w:cs="Times New Roman"/>
                <w:color w:val="auto"/>
                <w:kern w:val="0"/>
                <w:sz w:val="20"/>
                <w:szCs w:val="20"/>
                <w:u w:val="none"/>
              </w:rPr>
              <w:instrText xml:space="preserve"> HYPERLINK "http://www.tzjob.com" </w:instrText>
            </w:r>
            <w:r>
              <w:rPr>
                <w:rFonts w:hint="default" w:ascii="Times New Roman" w:hAnsi="Times New Roman" w:eastAsia="宋体" w:cs="Times New Roman"/>
                <w:color w:val="auto"/>
                <w:kern w:val="0"/>
                <w:sz w:val="20"/>
                <w:szCs w:val="20"/>
                <w:u w:val="none"/>
              </w:rPr>
              <w:fldChar w:fldCharType="separate"/>
            </w:r>
            <w:r>
              <w:rPr>
                <w:rStyle w:val="6"/>
                <w:rFonts w:hint="default" w:ascii="Times New Roman" w:hAnsi="Times New Roman" w:eastAsia="宋体" w:cs="Times New Roman"/>
                <w:color w:val="auto"/>
                <w:kern w:val="0"/>
                <w:sz w:val="20"/>
                <w:szCs w:val="20"/>
                <w:u w:val="none"/>
              </w:rPr>
              <w:t>www.tzjob.com</w:t>
            </w:r>
            <w:r>
              <w:rPr>
                <w:rFonts w:hint="default" w:ascii="Times New Roman" w:hAnsi="Times New Roman" w:eastAsia="宋体" w:cs="Times New Roman"/>
                <w:color w:val="auto"/>
                <w:kern w:val="0"/>
                <w:sz w:val="20"/>
                <w:szCs w:val="20"/>
                <w:u w:val="none"/>
              </w:rPr>
              <w:fldChar w:fldCharType="end"/>
            </w:r>
            <w:r>
              <w:rPr>
                <w:rFonts w:hint="default" w:ascii="Times New Roman" w:hAnsi="Times New Roman" w:eastAsia="宋体" w:cs="Times New Roman"/>
                <w:kern w:val="0"/>
                <w:sz w:val="20"/>
                <w:szCs w:val="20"/>
              </w:rPr>
              <w:br w:type="page"/>
            </w:r>
            <w:r>
              <w:rPr>
                <w:rFonts w:hint="default" w:ascii="Times New Roman" w:hAnsi="Times New Roman" w:eastAsia="宋体" w:cs="Times New Roman"/>
                <w:kern w:val="0"/>
                <w:sz w:val="20"/>
                <w:szCs w:val="20"/>
              </w:rPr>
              <w:t>电子邮箱：jygzbzhk@163.com</w:t>
            </w:r>
            <w:r>
              <w:rPr>
                <w:rFonts w:hint="default" w:ascii="Times New Roman" w:hAnsi="Times New Roman" w:eastAsia="宋体" w:cs="Times New Roman"/>
                <w:kern w:val="0"/>
                <w:sz w:val="20"/>
                <w:szCs w:val="20"/>
              </w:rPr>
              <w:br w:type="page"/>
            </w:r>
            <w:r>
              <w:rPr>
                <w:rFonts w:hint="default" w:ascii="Times New Roman" w:hAnsi="Times New Roman" w:eastAsia="宋体" w:cs="Times New Roman"/>
                <w:kern w:val="0"/>
                <w:sz w:val="20"/>
                <w:szCs w:val="20"/>
              </w:rPr>
              <w:t>咨询电话：0523-88869310</w:t>
            </w:r>
          </w:p>
        </w:tc>
        <w:tc>
          <w:tcPr>
            <w:tcW w:w="182" w:type="pct"/>
            <w:vMerge w:val="restar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275" w:type="pct"/>
            <w:vMerge w:val="restart"/>
            <w:shd w:val="clear" w:color="auto" w:fill="auto"/>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结构化面谈+无领导小组讨论</w:t>
            </w:r>
          </w:p>
        </w:tc>
        <w:tc>
          <w:tcPr>
            <w:tcW w:w="572" w:type="pct"/>
            <w:vMerge w:val="restart"/>
            <w:shd w:val="clear" w:color="auto" w:fill="auto"/>
            <w:tcMar>
              <w:top w:w="28" w:type="dxa"/>
              <w:left w:w="57" w:type="dxa"/>
              <w:bottom w:w="28" w:type="dxa"/>
              <w:right w:w="57" w:type="dxa"/>
            </w:tcMar>
            <w:vAlign w:val="center"/>
          </w:tcPr>
          <w:p>
            <w:pPr>
              <w:widowControl/>
              <w:numPr>
                <w:ilvl w:val="0"/>
                <w:numId w:val="0"/>
              </w:numPr>
              <w:spacing w:line="240" w:lineRule="exact"/>
              <w:jc w:val="left"/>
              <w:rPr>
                <w:rFonts w:hint="eastAsia" w:ascii="宋体" w:hAnsi="宋体" w:eastAsia="宋体" w:cs="Times New Roman"/>
                <w:color w:val="000000"/>
                <w:kern w:val="0"/>
                <w:sz w:val="20"/>
                <w:szCs w:val="20"/>
                <w:lang w:eastAsia="zh-CN"/>
              </w:rPr>
            </w:pPr>
            <w:r>
              <w:rPr>
                <w:rFonts w:hint="eastAsia" w:ascii="宋体" w:hAnsi="宋体" w:eastAsia="宋体" w:cs="Times New Roman"/>
                <w:color w:val="000000"/>
                <w:kern w:val="0"/>
                <w:sz w:val="20"/>
                <w:szCs w:val="20"/>
                <w:lang w:val="en-US" w:eastAsia="zh-CN"/>
              </w:rPr>
              <w:t>1.</w:t>
            </w:r>
            <w:r>
              <w:rPr>
                <w:rFonts w:hint="eastAsia" w:ascii="宋体" w:hAnsi="宋体" w:eastAsia="宋体" w:cs="Times New Roman"/>
                <w:color w:val="000000"/>
                <w:kern w:val="0"/>
                <w:sz w:val="20"/>
                <w:szCs w:val="20"/>
              </w:rPr>
              <w:t>工作前</w:t>
            </w:r>
            <w:r>
              <w:rPr>
                <w:rFonts w:ascii="Times New Roman" w:hAnsi="Times New Roman" w:eastAsia="宋体" w:cs="Times New Roman"/>
                <w:color w:val="000000"/>
                <w:kern w:val="0"/>
                <w:sz w:val="20"/>
                <w:szCs w:val="20"/>
              </w:rPr>
              <w:t>3</w:t>
            </w:r>
            <w:r>
              <w:rPr>
                <w:rFonts w:hint="eastAsia" w:ascii="宋体" w:hAnsi="宋体" w:eastAsia="宋体" w:cs="Times New Roman"/>
                <w:color w:val="000000"/>
                <w:kern w:val="0"/>
                <w:sz w:val="20"/>
                <w:szCs w:val="20"/>
              </w:rPr>
              <w:t>年薪酬待遇</w:t>
            </w:r>
            <w:r>
              <w:rPr>
                <w:rFonts w:hint="eastAsia" w:ascii="宋体" w:hAnsi="宋体" w:eastAsia="宋体" w:cs="Times New Roman"/>
                <w:color w:val="000000"/>
                <w:kern w:val="0"/>
                <w:sz w:val="20"/>
                <w:szCs w:val="20"/>
                <w:lang w:val="en-US" w:eastAsia="zh-CN"/>
              </w:rPr>
              <w:t>高于本地区同类事业</w:t>
            </w:r>
            <w:r>
              <w:rPr>
                <w:rFonts w:hint="eastAsia" w:ascii="宋体" w:hAnsi="宋体" w:eastAsia="宋体" w:cs="Times New Roman"/>
                <w:color w:val="000000"/>
                <w:kern w:val="0"/>
                <w:sz w:val="20"/>
                <w:szCs w:val="20"/>
              </w:rPr>
              <w:t>人员</w:t>
            </w:r>
            <w:r>
              <w:rPr>
                <w:rFonts w:ascii="Times New Roman" w:hAnsi="Times New Roman" w:eastAsia="宋体" w:cs="Times New Roman"/>
                <w:color w:val="000000"/>
                <w:kern w:val="0"/>
                <w:sz w:val="20"/>
                <w:szCs w:val="20"/>
              </w:rPr>
              <w:t>30%</w:t>
            </w:r>
            <w:r>
              <w:rPr>
                <w:rFonts w:hint="eastAsia" w:ascii="宋体" w:hAnsi="宋体" w:eastAsia="宋体" w:cs="Times New Roman"/>
                <w:color w:val="000000"/>
                <w:kern w:val="0"/>
                <w:sz w:val="20"/>
                <w:szCs w:val="20"/>
              </w:rPr>
              <w:t>，保险、公积金等按照国企同岗位层次人员标准执行</w:t>
            </w:r>
            <w:r>
              <w:rPr>
                <w:rFonts w:hint="eastAsia" w:ascii="宋体" w:hAnsi="宋体" w:eastAsia="宋体" w:cs="Times New Roman"/>
                <w:color w:val="000000"/>
                <w:kern w:val="0"/>
                <w:sz w:val="20"/>
                <w:szCs w:val="20"/>
                <w:lang w:eastAsia="zh-CN"/>
              </w:rPr>
              <w:t>；</w:t>
            </w:r>
          </w:p>
          <w:p>
            <w:pPr>
              <w:widowControl/>
              <w:numPr>
                <w:ilvl w:val="0"/>
                <w:numId w:val="0"/>
              </w:numPr>
              <w:spacing w:line="240" w:lineRule="exac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br w:type="page"/>
            </w:r>
            <w:r>
              <w:rPr>
                <w:rFonts w:ascii="Times New Roman" w:hAnsi="Times New Roman" w:eastAsia="宋体" w:cs="Times New Roman"/>
                <w:color w:val="000000"/>
                <w:kern w:val="0"/>
                <w:sz w:val="20"/>
                <w:szCs w:val="20"/>
              </w:rPr>
              <w:t>2.</w:t>
            </w:r>
            <w:r>
              <w:rPr>
                <w:rFonts w:hint="eastAsia" w:ascii="宋体" w:hAnsi="宋体" w:eastAsia="宋体" w:cs="Times New Roman"/>
                <w:color w:val="000000"/>
                <w:kern w:val="0"/>
                <w:sz w:val="20"/>
                <w:szCs w:val="20"/>
              </w:rPr>
              <w:t>可申请入住区级人才公寓</w:t>
            </w:r>
            <w:r>
              <w:rPr>
                <w:rFonts w:ascii="Times New Roman" w:hAnsi="Times New Roman" w:eastAsia="宋体" w:cs="Times New Roman"/>
                <w:color w:val="000000"/>
                <w:kern w:val="0"/>
                <w:sz w:val="20"/>
                <w:szCs w:val="20"/>
              </w:rPr>
              <w:t>3</w:t>
            </w:r>
            <w:r>
              <w:rPr>
                <w:rFonts w:hint="eastAsia" w:ascii="宋体" w:hAnsi="宋体" w:eastAsia="宋体" w:cs="Times New Roman"/>
                <w:color w:val="000000"/>
                <w:kern w:val="0"/>
                <w:sz w:val="20"/>
                <w:szCs w:val="20"/>
              </w:rPr>
              <w:t>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78" w:hRule="atLeast"/>
          <w:jc w:val="center"/>
        </w:trPr>
        <w:tc>
          <w:tcPr>
            <w:tcW w:w="275"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姜堰区</w:t>
            </w:r>
          </w:p>
        </w:tc>
        <w:tc>
          <w:tcPr>
            <w:tcW w:w="21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5B</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泰州市</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金东城投等</w:t>
            </w:r>
            <w:r>
              <w:rPr>
                <w:rFonts w:hint="eastAsia" w:ascii="Times New Roman" w:hAnsi="Times New Roman" w:eastAsia="宋体" w:cs="宋体"/>
                <w:kern w:val="0"/>
                <w:sz w:val="20"/>
                <w:szCs w:val="20"/>
              </w:rPr>
              <w:t>5</w:t>
            </w:r>
            <w:r>
              <w:rPr>
                <w:rFonts w:hint="eastAsia" w:ascii="宋体" w:hAnsi="宋体" w:eastAsia="宋体" w:cs="宋体"/>
                <w:kern w:val="0"/>
                <w:sz w:val="20"/>
                <w:szCs w:val="20"/>
              </w:rPr>
              <w:t>家国企单位</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工程管理类</w:t>
            </w:r>
          </w:p>
        </w:tc>
        <w:tc>
          <w:tcPr>
            <w:tcW w:w="229"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5B-2</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工作人员</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365"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本科及以上</w:t>
            </w:r>
          </w:p>
        </w:tc>
        <w:tc>
          <w:tcPr>
            <w:tcW w:w="687" w:type="pct"/>
            <w:shd w:val="clear" w:color="auto" w:fill="auto"/>
            <w:tcMar>
              <w:top w:w="28" w:type="dxa"/>
              <w:left w:w="57" w:type="dxa"/>
              <w:bottom w:w="28" w:type="dxa"/>
              <w:right w:w="57" w:type="dxa"/>
            </w:tcMar>
            <w:vAlign w:val="center"/>
          </w:tcPr>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交通工程、交通设备信息工程、交通建设与装备、交通管理工程、交通土建工程、工程造价管理、工程造价、土木工程、工程管理、建筑工程、给水排水工程、市政工程</w:t>
            </w:r>
          </w:p>
        </w:tc>
        <w:tc>
          <w:tcPr>
            <w:tcW w:w="689"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504" w:type="pct"/>
            <w:vMerge w:val="continue"/>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kern w:val="0"/>
                <w:sz w:val="20"/>
                <w:szCs w:val="20"/>
              </w:rPr>
            </w:pPr>
          </w:p>
        </w:tc>
        <w:tc>
          <w:tcPr>
            <w:tcW w:w="182" w:type="pct"/>
            <w:vMerge w:val="continue"/>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275"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572" w:type="pct"/>
            <w:vMerge w:val="continue"/>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color w:val="000000"/>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10" w:hRule="atLeast"/>
          <w:jc w:val="center"/>
        </w:trPr>
        <w:tc>
          <w:tcPr>
            <w:tcW w:w="275"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姜堰区</w:t>
            </w:r>
          </w:p>
        </w:tc>
        <w:tc>
          <w:tcPr>
            <w:tcW w:w="21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5B</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泰州市</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金东城投等</w:t>
            </w:r>
            <w:r>
              <w:rPr>
                <w:rFonts w:hint="eastAsia" w:ascii="Times New Roman" w:hAnsi="Times New Roman" w:eastAsia="宋体" w:cs="宋体"/>
                <w:kern w:val="0"/>
                <w:sz w:val="20"/>
                <w:szCs w:val="20"/>
              </w:rPr>
              <w:t>5</w:t>
            </w:r>
            <w:r>
              <w:rPr>
                <w:rFonts w:hint="eastAsia" w:ascii="宋体" w:hAnsi="宋体" w:eastAsia="宋体" w:cs="宋体"/>
                <w:kern w:val="0"/>
                <w:sz w:val="20"/>
                <w:szCs w:val="20"/>
              </w:rPr>
              <w:t>家国企单位</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旅游管理类</w:t>
            </w:r>
          </w:p>
        </w:tc>
        <w:tc>
          <w:tcPr>
            <w:tcW w:w="229"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5B-3</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工作人员</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365"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本科及以上</w:t>
            </w:r>
          </w:p>
        </w:tc>
        <w:tc>
          <w:tcPr>
            <w:tcW w:w="687" w:type="pct"/>
            <w:shd w:val="clear" w:color="auto" w:fill="auto"/>
            <w:tcMar>
              <w:top w:w="28" w:type="dxa"/>
              <w:left w:w="57" w:type="dxa"/>
              <w:bottom w:w="28" w:type="dxa"/>
              <w:right w:w="57" w:type="dxa"/>
            </w:tcMar>
            <w:vAlign w:val="center"/>
          </w:tcPr>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旅游管理、旅游规划与设计、旅游管理与服务教育、会展艺术与技术、环境艺术设计、酒店管理，会展经济与管理、风景园林、风景园林学、园林植物与观赏园艺、景观学、景观设计、景观建筑设计、风景园林规划与设计</w:t>
            </w:r>
          </w:p>
        </w:tc>
        <w:tc>
          <w:tcPr>
            <w:tcW w:w="689"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504" w:type="pct"/>
            <w:vMerge w:val="continue"/>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kern w:val="0"/>
                <w:sz w:val="20"/>
                <w:szCs w:val="20"/>
              </w:rPr>
            </w:pPr>
          </w:p>
        </w:tc>
        <w:tc>
          <w:tcPr>
            <w:tcW w:w="182" w:type="pct"/>
            <w:vMerge w:val="continue"/>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275"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572" w:type="pct"/>
            <w:vMerge w:val="continue"/>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color w:val="000000"/>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36" w:hRule="atLeast"/>
          <w:jc w:val="center"/>
        </w:trPr>
        <w:tc>
          <w:tcPr>
            <w:tcW w:w="275"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Times New Roman"/>
                <w:color w:val="000000"/>
                <w:kern w:val="0"/>
                <w:sz w:val="20"/>
                <w:szCs w:val="20"/>
              </w:rPr>
            </w:pPr>
            <w:r>
              <w:rPr>
                <w:rFonts w:hint="eastAsia" w:ascii="宋体" w:hAnsi="宋体" w:eastAsia="宋体" w:cs="宋体"/>
                <w:color w:val="000000"/>
                <w:kern w:val="0"/>
                <w:sz w:val="20"/>
                <w:szCs w:val="20"/>
              </w:rPr>
              <w:t>医药高新区（高港区）</w:t>
            </w:r>
          </w:p>
        </w:tc>
        <w:tc>
          <w:tcPr>
            <w:tcW w:w="21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hint="eastAsia" w:ascii="Times New Roman" w:hAnsi="Times New Roman" w:eastAsia="宋体" w:cs="宋体"/>
                <w:color w:val="000000"/>
                <w:kern w:val="0"/>
                <w:sz w:val="20"/>
                <w:szCs w:val="20"/>
              </w:rPr>
              <w:t>6B</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color w:val="000000"/>
                <w:kern w:val="0"/>
                <w:sz w:val="20"/>
                <w:szCs w:val="20"/>
              </w:rPr>
              <w:t>泰州华信药业投资有限公司</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经济类</w:t>
            </w:r>
          </w:p>
        </w:tc>
        <w:tc>
          <w:tcPr>
            <w:tcW w:w="229"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hint="eastAsia" w:ascii="Times New Roman" w:hAnsi="Times New Roman" w:eastAsia="宋体" w:cs="宋体"/>
                <w:color w:val="000000"/>
                <w:kern w:val="0"/>
                <w:sz w:val="20"/>
                <w:szCs w:val="20"/>
              </w:rPr>
              <w:t>6B</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lang w:val="en-US" w:eastAsia="zh-CN"/>
              </w:rPr>
              <w:t>1</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融资专员</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hint="eastAsia" w:ascii="Times New Roman" w:hAnsi="Times New Roman" w:eastAsia="宋体" w:cs="宋体"/>
                <w:color w:val="000000"/>
                <w:kern w:val="0"/>
                <w:sz w:val="20"/>
                <w:szCs w:val="20"/>
              </w:rPr>
              <w:t>1</w:t>
            </w:r>
          </w:p>
        </w:tc>
        <w:tc>
          <w:tcPr>
            <w:tcW w:w="365"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Times New Roman"/>
                <w:kern w:val="0"/>
                <w:sz w:val="20"/>
                <w:szCs w:val="20"/>
              </w:rPr>
            </w:pPr>
            <w:r>
              <w:rPr>
                <w:rFonts w:hint="eastAsia" w:ascii="宋体" w:hAnsi="宋体" w:eastAsia="宋体" w:cs="宋体"/>
                <w:color w:val="000000"/>
                <w:kern w:val="0"/>
                <w:sz w:val="20"/>
                <w:szCs w:val="20"/>
              </w:rPr>
              <w:t>本科及以上</w:t>
            </w:r>
          </w:p>
        </w:tc>
        <w:tc>
          <w:tcPr>
            <w:tcW w:w="687" w:type="pct"/>
            <w:shd w:val="clear" w:color="auto" w:fill="auto"/>
            <w:tcMar>
              <w:top w:w="28" w:type="dxa"/>
              <w:left w:w="57" w:type="dxa"/>
              <w:bottom w:w="28" w:type="dxa"/>
              <w:right w:w="57" w:type="dxa"/>
            </w:tcMar>
            <w:vAlign w:val="center"/>
          </w:tcPr>
          <w:p>
            <w:pPr>
              <w:widowControl/>
              <w:spacing w:line="240" w:lineRule="exact"/>
              <w:jc w:val="both"/>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经济学、金融学、经济与金融、金融数学、大数据与审计、会计、财政学、数量经济学、税务、统计学、应用经济学、理论经济学</w:t>
            </w:r>
          </w:p>
        </w:tc>
        <w:tc>
          <w:tcPr>
            <w:tcW w:w="689" w:type="pct"/>
            <w:vMerge w:val="restart"/>
            <w:tcMar>
              <w:top w:w="28" w:type="dxa"/>
              <w:left w:w="57" w:type="dxa"/>
              <w:bottom w:w="28" w:type="dxa"/>
              <w:right w:w="57" w:type="dxa"/>
            </w:tcMar>
            <w:vAlign w:val="center"/>
          </w:tcPr>
          <w:p>
            <w:pPr>
              <w:widowControl/>
              <w:numPr>
                <w:ilvl w:val="0"/>
                <w:numId w:val="1"/>
              </w:numPr>
              <w:spacing w:line="240" w:lineRule="exact"/>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毕业院校应具备以下条件之一：</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①第一轮“一流大学”建设高校全日制本科毕业生</w:t>
            </w:r>
            <w:r>
              <w:rPr>
                <w:rFonts w:hint="eastAsia" w:ascii="宋体" w:hAnsi="宋体" w:eastAsia="宋体" w:cs="宋体"/>
                <w:color w:val="000000"/>
                <w:kern w:val="0"/>
                <w:sz w:val="20"/>
                <w:szCs w:val="20"/>
                <w:lang w:eastAsia="zh-CN"/>
              </w:rPr>
              <w:t>；</w:t>
            </w:r>
          </w:p>
          <w:p>
            <w:pPr>
              <w:widowControl/>
              <w:numPr>
                <w:ilvl w:val="0"/>
                <w:numId w:val="0"/>
              </w:numPr>
              <w:spacing w:line="240" w:lineRule="exact"/>
              <w:jc w:val="left"/>
              <w:rPr>
                <w:rFonts w:ascii="宋体" w:hAnsi="宋体" w:eastAsia="宋体" w:cs="宋体"/>
                <w:kern w:val="0"/>
                <w:sz w:val="20"/>
                <w:szCs w:val="20"/>
              </w:rPr>
            </w:pPr>
            <w:r>
              <w:rPr>
                <w:rFonts w:hint="eastAsia" w:ascii="宋体" w:hAnsi="宋体" w:eastAsia="宋体" w:cs="宋体"/>
                <w:color w:val="000000"/>
                <w:kern w:val="0"/>
                <w:sz w:val="20"/>
                <w:szCs w:val="20"/>
              </w:rPr>
              <w:t>②第一轮“一流大学”建设高校、第二轮“双一流”建设高校全日制硕士研究生及以上学历毕业生（本科须为第二轮“双一流”建设高校全日制毕业生）</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③最新世界大学排名榜单（</w:t>
            </w:r>
            <w:r>
              <w:rPr>
                <w:rFonts w:hint="eastAsia" w:ascii="Times New Roman" w:hAnsi="Times New Roman" w:eastAsia="宋体" w:cs="宋体"/>
                <w:color w:val="000000"/>
                <w:kern w:val="0"/>
                <w:sz w:val="20"/>
                <w:szCs w:val="20"/>
              </w:rPr>
              <w:t>QS</w:t>
            </w:r>
            <w:r>
              <w:rPr>
                <w:rFonts w:hint="eastAsia" w:ascii="宋体" w:hAnsi="宋体" w:eastAsia="宋体" w:cs="宋体"/>
                <w:color w:val="000000"/>
                <w:kern w:val="0"/>
                <w:sz w:val="20"/>
                <w:szCs w:val="20"/>
              </w:rPr>
              <w:t>、</w:t>
            </w:r>
            <w:r>
              <w:rPr>
                <w:rFonts w:hint="eastAsia" w:ascii="Times New Roman" w:hAnsi="Times New Roman" w:eastAsia="宋体" w:cs="宋体"/>
                <w:color w:val="000000"/>
                <w:kern w:val="0"/>
                <w:sz w:val="20"/>
                <w:szCs w:val="20"/>
              </w:rPr>
              <w:t>THE</w:t>
            </w:r>
            <w:r>
              <w:rPr>
                <w:rFonts w:hint="eastAsia" w:ascii="宋体" w:hAnsi="宋体" w:eastAsia="宋体" w:cs="宋体"/>
                <w:color w:val="000000"/>
                <w:kern w:val="0"/>
                <w:sz w:val="20"/>
                <w:szCs w:val="20"/>
              </w:rPr>
              <w:t>、</w:t>
            </w:r>
            <w:r>
              <w:rPr>
                <w:rFonts w:hint="eastAsia" w:ascii="Times New Roman" w:hAnsi="Times New Roman" w:eastAsia="宋体" w:cs="宋体"/>
                <w:color w:val="000000"/>
                <w:kern w:val="0"/>
                <w:sz w:val="20"/>
                <w:szCs w:val="20"/>
              </w:rPr>
              <w:t>U</w:t>
            </w:r>
            <w:r>
              <w:rPr>
                <w:rFonts w:hint="eastAsia" w:ascii="宋体" w:hAnsi="宋体" w:eastAsia="宋体" w:cs="宋体"/>
                <w:color w:val="000000"/>
                <w:kern w:val="0"/>
                <w:sz w:val="20"/>
                <w:szCs w:val="20"/>
              </w:rPr>
              <w:t>.</w:t>
            </w:r>
            <w:r>
              <w:rPr>
                <w:rFonts w:hint="eastAsia" w:ascii="Times New Roman" w:hAnsi="Times New Roman" w:eastAsia="宋体" w:cs="宋体"/>
                <w:color w:val="000000"/>
                <w:kern w:val="0"/>
                <w:sz w:val="20"/>
                <w:szCs w:val="20"/>
              </w:rPr>
              <w:t>S</w:t>
            </w:r>
            <w:r>
              <w:rPr>
                <w:rFonts w:hint="eastAsia" w:ascii="宋体" w:hAnsi="宋体" w:eastAsia="宋体" w:cs="宋体"/>
                <w:color w:val="000000"/>
                <w:kern w:val="0"/>
                <w:sz w:val="20"/>
                <w:szCs w:val="20"/>
              </w:rPr>
              <w:t>.</w:t>
            </w:r>
            <w:r>
              <w:rPr>
                <w:rFonts w:hint="eastAsia" w:ascii="Times New Roman" w:hAnsi="Times New Roman" w:eastAsia="宋体" w:cs="宋体"/>
                <w:color w:val="000000"/>
                <w:kern w:val="0"/>
                <w:sz w:val="20"/>
                <w:szCs w:val="20"/>
              </w:rPr>
              <w:t>NEWS</w:t>
            </w:r>
            <w:r>
              <w:rPr>
                <w:rFonts w:hint="eastAsia" w:ascii="宋体" w:hAnsi="宋体" w:eastAsia="宋体" w:cs="宋体"/>
                <w:color w:val="000000"/>
                <w:kern w:val="0"/>
                <w:sz w:val="20"/>
                <w:szCs w:val="20"/>
              </w:rPr>
              <w:t>、</w:t>
            </w:r>
            <w:r>
              <w:rPr>
                <w:rFonts w:hint="eastAsia" w:ascii="Times New Roman" w:hAnsi="Times New Roman" w:eastAsia="宋体" w:cs="宋体"/>
                <w:color w:val="000000"/>
                <w:kern w:val="0"/>
                <w:sz w:val="20"/>
                <w:szCs w:val="20"/>
              </w:rPr>
              <w:t>ARWU</w:t>
            </w:r>
            <w:r>
              <w:rPr>
                <w:rFonts w:hint="eastAsia" w:ascii="宋体" w:hAnsi="宋体" w:eastAsia="宋体" w:cs="宋体"/>
                <w:color w:val="000000"/>
                <w:kern w:val="0"/>
                <w:sz w:val="20"/>
                <w:szCs w:val="20"/>
              </w:rPr>
              <w:t>、</w:t>
            </w:r>
            <w:r>
              <w:rPr>
                <w:rFonts w:hint="eastAsia" w:ascii="Times New Roman" w:hAnsi="Times New Roman" w:eastAsia="宋体" w:cs="宋体"/>
                <w:color w:val="000000"/>
                <w:kern w:val="0"/>
                <w:sz w:val="20"/>
                <w:szCs w:val="20"/>
              </w:rPr>
              <w:t>CWUR</w:t>
            </w:r>
            <w:r>
              <w:rPr>
                <w:rFonts w:hint="eastAsia" w:ascii="宋体" w:hAnsi="宋体" w:eastAsia="宋体" w:cs="宋体"/>
                <w:color w:val="000000"/>
                <w:kern w:val="0"/>
                <w:sz w:val="20"/>
                <w:szCs w:val="20"/>
              </w:rPr>
              <w:t>）前</w:t>
            </w:r>
            <w:r>
              <w:rPr>
                <w:rFonts w:hint="eastAsia" w:ascii="Times New Roman" w:hAnsi="Times New Roman" w:eastAsia="宋体" w:cs="宋体"/>
                <w:color w:val="000000"/>
                <w:kern w:val="0"/>
                <w:sz w:val="20"/>
                <w:szCs w:val="20"/>
              </w:rPr>
              <w:t>100</w:t>
            </w:r>
            <w:r>
              <w:rPr>
                <w:rFonts w:hint="eastAsia" w:ascii="宋体" w:hAnsi="宋体" w:eastAsia="宋体" w:cs="宋体"/>
                <w:color w:val="000000"/>
                <w:kern w:val="0"/>
                <w:sz w:val="20"/>
                <w:szCs w:val="20"/>
              </w:rPr>
              <w:t>名国（境）外高校的全日制硕士研究生及以上学历毕业生（本科须为第二轮“双一流”建设高校全日制毕业生）。</w:t>
            </w:r>
            <w:r>
              <w:rPr>
                <w:rFonts w:hint="eastAsia" w:ascii="宋体" w:hAnsi="宋体" w:eastAsia="宋体" w:cs="宋体"/>
                <w:color w:val="000000"/>
                <w:kern w:val="0"/>
                <w:sz w:val="20"/>
                <w:szCs w:val="20"/>
              </w:rPr>
              <w:br w:type="textWrapping"/>
            </w:r>
            <w:r>
              <w:rPr>
                <w:rFonts w:hint="eastAsia" w:ascii="Times New Roman" w:hAnsi="Times New Roman" w:eastAsia="宋体" w:cs="宋体"/>
                <w:color w:val="000000"/>
                <w:kern w:val="0"/>
                <w:sz w:val="20"/>
                <w:szCs w:val="20"/>
              </w:rPr>
              <w:t>2</w:t>
            </w:r>
            <w:r>
              <w:rPr>
                <w:rFonts w:hint="eastAsia" w:ascii="宋体" w:hAnsi="宋体" w:eastAsia="宋体" w:cs="宋体"/>
                <w:color w:val="000000"/>
                <w:kern w:val="0"/>
                <w:sz w:val="20"/>
                <w:szCs w:val="20"/>
              </w:rPr>
              <w:t>.拥有行业实习实践经验，持有专业资格证书者优先。</w:t>
            </w:r>
          </w:p>
        </w:tc>
        <w:tc>
          <w:tcPr>
            <w:tcW w:w="504" w:type="pct"/>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报名网址：www.tzjob.com</w:t>
            </w:r>
            <w:r>
              <w:rPr>
                <w:rFonts w:hint="default" w:ascii="Times New Roman" w:hAnsi="Times New Roman" w:eastAsia="宋体" w:cs="Times New Roman"/>
                <w:kern w:val="0"/>
                <w:sz w:val="20"/>
                <w:szCs w:val="20"/>
              </w:rPr>
              <w:br w:type="page"/>
            </w:r>
            <w:r>
              <w:rPr>
                <w:rFonts w:hint="default" w:ascii="Times New Roman" w:hAnsi="Times New Roman" w:eastAsia="宋体" w:cs="Times New Roman"/>
                <w:kern w:val="0"/>
                <w:sz w:val="20"/>
                <w:szCs w:val="20"/>
              </w:rPr>
              <w:t>电子邮箱：</w:t>
            </w:r>
            <w:r>
              <w:rPr>
                <w:rFonts w:hint="default" w:ascii="Times New Roman" w:hAnsi="Times New Roman" w:eastAsia="宋体" w:cs="Times New Roman"/>
                <w:kern w:val="0"/>
                <w:sz w:val="20"/>
                <w:szCs w:val="20"/>
              </w:rPr>
              <w:fldChar w:fldCharType="begin"/>
            </w:r>
            <w:r>
              <w:rPr>
                <w:rFonts w:hint="default" w:ascii="Times New Roman" w:hAnsi="Times New Roman" w:eastAsia="宋体" w:cs="Times New Roman"/>
                <w:kern w:val="0"/>
                <w:sz w:val="20"/>
                <w:szCs w:val="20"/>
              </w:rPr>
              <w:instrText xml:space="preserve"> HYPERLINK "mailto:tzgxdqzp@126.com" </w:instrText>
            </w:r>
            <w:r>
              <w:rPr>
                <w:rFonts w:hint="default" w:ascii="Times New Roman" w:hAnsi="Times New Roman" w:eastAsia="宋体" w:cs="Times New Roman"/>
                <w:kern w:val="0"/>
                <w:sz w:val="20"/>
                <w:szCs w:val="20"/>
              </w:rPr>
              <w:fldChar w:fldCharType="separate"/>
            </w:r>
            <w:r>
              <w:rPr>
                <w:rStyle w:val="6"/>
                <w:rFonts w:hint="default" w:ascii="Times New Roman" w:hAnsi="Times New Roman" w:eastAsia="宋体" w:cs="Times New Roman"/>
                <w:color w:val="auto"/>
                <w:kern w:val="0"/>
                <w:sz w:val="20"/>
                <w:szCs w:val="20"/>
                <w:u w:val="none"/>
              </w:rPr>
              <w:t>tzgxdqzp@126.com</w:t>
            </w:r>
            <w:r>
              <w:rPr>
                <w:rFonts w:hint="default" w:ascii="Times New Roman" w:hAnsi="Times New Roman" w:eastAsia="宋体" w:cs="Times New Roman"/>
                <w:kern w:val="0"/>
                <w:sz w:val="20"/>
                <w:szCs w:val="20"/>
              </w:rPr>
              <w:fldChar w:fldCharType="end"/>
            </w:r>
          </w:p>
          <w:p>
            <w:pPr>
              <w:widowControl/>
              <w:spacing w:line="240" w:lineRule="exact"/>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br w:type="page"/>
            </w:r>
            <w:r>
              <w:rPr>
                <w:rFonts w:hint="default" w:ascii="Times New Roman" w:hAnsi="Times New Roman" w:eastAsia="宋体" w:cs="Times New Roman"/>
                <w:kern w:val="0"/>
                <w:sz w:val="20"/>
                <w:szCs w:val="20"/>
              </w:rPr>
              <w:t>咨询电话：</w:t>
            </w:r>
            <w:r>
              <w:rPr>
                <w:rFonts w:hint="default" w:ascii="Times New Roman" w:hAnsi="Times New Roman" w:eastAsia="宋体" w:cs="Times New Roman"/>
                <w:kern w:val="0"/>
                <w:sz w:val="20"/>
                <w:szCs w:val="20"/>
                <w:lang w:val="en-US" w:eastAsia="zh-CN"/>
              </w:rPr>
              <w:t>13301433588</w:t>
            </w:r>
          </w:p>
        </w:tc>
        <w:tc>
          <w:tcPr>
            <w:tcW w:w="182" w:type="pct"/>
            <w:vMerge w:val="restart"/>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2</w:t>
            </w:r>
          </w:p>
        </w:tc>
        <w:tc>
          <w:tcPr>
            <w:tcW w:w="275" w:type="pct"/>
            <w:vMerge w:val="restart"/>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结构化面谈+无领导小组讨论</w:t>
            </w:r>
          </w:p>
        </w:tc>
        <w:tc>
          <w:tcPr>
            <w:tcW w:w="572" w:type="pct"/>
            <w:vMerge w:val="restart"/>
            <w:tcMar>
              <w:top w:w="28" w:type="dxa"/>
              <w:left w:w="57" w:type="dxa"/>
              <w:bottom w:w="28" w:type="dxa"/>
              <w:right w:w="57" w:type="dxa"/>
            </w:tcMar>
            <w:vAlign w:val="center"/>
          </w:tcPr>
          <w:p>
            <w:pPr>
              <w:widowControl/>
              <w:spacing w:line="240" w:lineRule="exact"/>
              <w:jc w:val="both"/>
              <w:rPr>
                <w:rFonts w:hint="eastAsia" w:ascii="Times New Roman" w:hAnsi="Times New Roman" w:eastAsia="宋体" w:cs="Times New Roman"/>
                <w:color w:val="000000"/>
                <w:kern w:val="0"/>
                <w:sz w:val="20"/>
                <w:szCs w:val="20"/>
                <w:lang w:eastAsia="zh-CN"/>
              </w:rPr>
            </w:pPr>
            <w:r>
              <w:rPr>
                <w:rFonts w:hint="eastAsia" w:ascii="Times New Roman" w:hAnsi="Times New Roman" w:eastAsia="宋体" w:cs="宋体"/>
                <w:color w:val="000000"/>
                <w:kern w:val="0"/>
                <w:sz w:val="20"/>
                <w:szCs w:val="20"/>
              </w:rPr>
              <w:t>1</w:t>
            </w:r>
            <w:r>
              <w:rPr>
                <w:rFonts w:hint="eastAsia" w:ascii="宋体" w:hAnsi="宋体" w:eastAsia="宋体" w:cs="宋体"/>
                <w:color w:val="000000"/>
                <w:kern w:val="0"/>
                <w:sz w:val="20"/>
                <w:szCs w:val="20"/>
              </w:rPr>
              <w:t>.工作前</w:t>
            </w:r>
            <w:r>
              <w:rPr>
                <w:rFonts w:ascii="Times New Roman" w:hAnsi="Times New Roman" w:eastAsia="宋体" w:cs="Times New Roman"/>
                <w:color w:val="000000"/>
                <w:kern w:val="0"/>
                <w:sz w:val="20"/>
                <w:szCs w:val="20"/>
              </w:rPr>
              <w:t>3</w:t>
            </w:r>
            <w:r>
              <w:rPr>
                <w:rFonts w:hint="eastAsia" w:ascii="宋体" w:hAnsi="宋体" w:eastAsia="宋体" w:cs="宋体"/>
                <w:color w:val="000000"/>
                <w:kern w:val="0"/>
                <w:sz w:val="20"/>
                <w:szCs w:val="20"/>
              </w:rPr>
              <w:t>年为培养锻炼期，培养锻炼期薪酬待遇一般高于</w:t>
            </w:r>
            <w:r>
              <w:rPr>
                <w:rFonts w:hint="eastAsia" w:ascii="宋体" w:hAnsi="宋体" w:eastAsia="宋体" w:cs="宋体"/>
                <w:color w:val="000000"/>
                <w:kern w:val="0"/>
                <w:sz w:val="20"/>
                <w:szCs w:val="20"/>
                <w:lang w:val="en-US" w:eastAsia="zh-CN"/>
              </w:rPr>
              <w:t>区本级</w:t>
            </w:r>
            <w:r>
              <w:rPr>
                <w:rFonts w:hint="eastAsia" w:ascii="宋体" w:hAnsi="宋体" w:eastAsia="宋体" w:cs="宋体"/>
                <w:color w:val="000000"/>
                <w:kern w:val="0"/>
                <w:sz w:val="20"/>
                <w:szCs w:val="20"/>
              </w:rPr>
              <w:t>同</w:t>
            </w:r>
            <w:r>
              <w:rPr>
                <w:rFonts w:hint="eastAsia" w:ascii="宋体" w:hAnsi="宋体" w:eastAsia="宋体" w:cs="宋体"/>
                <w:color w:val="000000"/>
                <w:kern w:val="0"/>
                <w:sz w:val="20"/>
                <w:szCs w:val="20"/>
                <w:lang w:val="en-US" w:eastAsia="zh-CN"/>
              </w:rPr>
              <w:t>类</w:t>
            </w:r>
            <w:r>
              <w:rPr>
                <w:rFonts w:hint="eastAsia" w:ascii="宋体" w:hAnsi="宋体" w:eastAsia="宋体" w:cs="宋体"/>
                <w:color w:val="000000"/>
                <w:kern w:val="0"/>
                <w:sz w:val="20"/>
                <w:szCs w:val="20"/>
              </w:rPr>
              <w:t>事业人员</w:t>
            </w:r>
            <w:r>
              <w:rPr>
                <w:rFonts w:ascii="Times New Roman" w:hAnsi="Times New Roman" w:eastAsia="宋体" w:cs="Times New Roman"/>
                <w:color w:val="000000"/>
                <w:kern w:val="0"/>
                <w:sz w:val="20"/>
                <w:szCs w:val="20"/>
              </w:rPr>
              <w:t>30%</w:t>
            </w:r>
            <w:r>
              <w:rPr>
                <w:rFonts w:hint="eastAsia" w:ascii="宋体" w:hAnsi="宋体" w:eastAsia="宋体" w:cs="宋体"/>
                <w:color w:val="000000"/>
                <w:kern w:val="0"/>
                <w:sz w:val="20"/>
                <w:szCs w:val="20"/>
              </w:rPr>
              <w:t>，培养锻炼期满后按照聘任岗位领取薪酬。</w:t>
            </w:r>
            <w:r>
              <w:rPr>
                <w:rFonts w:hint="eastAsia" w:ascii="宋体" w:hAnsi="宋体" w:eastAsia="宋体" w:cs="宋体"/>
                <w:color w:val="000000"/>
                <w:kern w:val="0"/>
                <w:sz w:val="20"/>
                <w:szCs w:val="20"/>
              </w:rPr>
              <w:br w:type="textWrapping"/>
            </w:r>
            <w:r>
              <w:rPr>
                <w:rFonts w:hint="eastAsia" w:ascii="Times New Roman" w:hAnsi="Times New Roman" w:eastAsia="宋体" w:cs="宋体"/>
                <w:color w:val="000000"/>
                <w:kern w:val="0"/>
                <w:sz w:val="20"/>
                <w:szCs w:val="20"/>
              </w:rPr>
              <w:t>2</w:t>
            </w:r>
            <w:r>
              <w:rPr>
                <w:rFonts w:hint="eastAsia" w:ascii="宋体" w:hAnsi="宋体" w:eastAsia="宋体" w:cs="宋体"/>
                <w:color w:val="000000"/>
                <w:kern w:val="0"/>
                <w:sz w:val="20"/>
                <w:szCs w:val="20"/>
              </w:rPr>
              <w:t>.可申请享受企业引进高层次人才相关</w:t>
            </w:r>
            <w:r>
              <w:rPr>
                <w:rFonts w:hint="eastAsia" w:ascii="宋体" w:hAnsi="宋体" w:eastAsia="宋体" w:cs="宋体"/>
                <w:color w:val="000000"/>
                <w:kern w:val="0"/>
                <w:sz w:val="20"/>
                <w:szCs w:val="20"/>
                <w:lang w:val="en-US" w:eastAsia="zh-CN"/>
              </w:rPr>
              <w:t>补贴</w:t>
            </w:r>
            <w:r>
              <w:rPr>
                <w:rFonts w:hint="eastAsia" w:ascii="宋体" w:hAnsi="宋体" w:eastAsia="宋体" w:cs="宋体"/>
                <w:color w:val="000000"/>
                <w:kern w:val="0"/>
                <w:sz w:val="20"/>
                <w:szCs w:val="20"/>
              </w:rPr>
              <w:t>待遇。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10" w:hRule="atLeast"/>
          <w:jc w:val="center"/>
        </w:trPr>
        <w:tc>
          <w:tcPr>
            <w:tcW w:w="275"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Times New Roman"/>
                <w:color w:val="000000"/>
                <w:kern w:val="0"/>
                <w:sz w:val="20"/>
                <w:szCs w:val="20"/>
              </w:rPr>
            </w:pPr>
            <w:r>
              <w:rPr>
                <w:rFonts w:hint="eastAsia" w:ascii="宋体" w:hAnsi="宋体" w:eastAsia="宋体" w:cs="宋体"/>
                <w:color w:val="000000"/>
                <w:kern w:val="0"/>
                <w:sz w:val="20"/>
                <w:szCs w:val="20"/>
              </w:rPr>
              <w:t>医药高新区（高港区）</w:t>
            </w:r>
          </w:p>
        </w:tc>
        <w:tc>
          <w:tcPr>
            <w:tcW w:w="21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hint="eastAsia" w:ascii="Times New Roman" w:hAnsi="Times New Roman" w:eastAsia="宋体" w:cs="宋体"/>
                <w:color w:val="000000"/>
                <w:kern w:val="0"/>
                <w:sz w:val="20"/>
                <w:szCs w:val="20"/>
              </w:rPr>
              <w:t>6B</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color w:val="000000"/>
                <w:kern w:val="0"/>
                <w:sz w:val="20"/>
                <w:szCs w:val="20"/>
              </w:rPr>
              <w:t>江苏创鸿资产管理有限公司</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审计类</w:t>
            </w:r>
          </w:p>
        </w:tc>
        <w:tc>
          <w:tcPr>
            <w:tcW w:w="229"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hint="eastAsia" w:ascii="Times New Roman" w:hAnsi="Times New Roman" w:eastAsia="宋体" w:cs="宋体"/>
                <w:color w:val="000000"/>
                <w:kern w:val="0"/>
                <w:sz w:val="20"/>
                <w:szCs w:val="20"/>
              </w:rPr>
              <w:t>6B</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lang w:val="en-US" w:eastAsia="zh-CN"/>
              </w:rPr>
              <w:t>2</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审计专员</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hint="eastAsia" w:ascii="Times New Roman" w:hAnsi="Times New Roman" w:eastAsia="宋体" w:cs="宋体"/>
                <w:color w:val="000000"/>
                <w:kern w:val="0"/>
                <w:sz w:val="20"/>
                <w:szCs w:val="20"/>
              </w:rPr>
              <w:t>1</w:t>
            </w:r>
          </w:p>
        </w:tc>
        <w:tc>
          <w:tcPr>
            <w:tcW w:w="365"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Times New Roman"/>
                <w:kern w:val="0"/>
                <w:sz w:val="20"/>
                <w:szCs w:val="20"/>
              </w:rPr>
            </w:pPr>
            <w:r>
              <w:rPr>
                <w:rFonts w:hint="eastAsia" w:ascii="宋体" w:hAnsi="宋体" w:eastAsia="宋体" w:cs="宋体"/>
                <w:color w:val="000000"/>
                <w:kern w:val="0"/>
                <w:sz w:val="20"/>
                <w:szCs w:val="20"/>
              </w:rPr>
              <w:t>本科及以上</w:t>
            </w:r>
          </w:p>
        </w:tc>
        <w:tc>
          <w:tcPr>
            <w:tcW w:w="687" w:type="pct"/>
            <w:shd w:val="clear" w:color="auto" w:fill="auto"/>
            <w:tcMar>
              <w:top w:w="28" w:type="dxa"/>
              <w:left w:w="57" w:type="dxa"/>
              <w:bottom w:w="28" w:type="dxa"/>
              <w:right w:w="57" w:type="dxa"/>
            </w:tcMar>
            <w:vAlign w:val="center"/>
          </w:tcPr>
          <w:p>
            <w:pPr>
              <w:widowControl/>
              <w:spacing w:line="240" w:lineRule="exact"/>
              <w:jc w:val="distribute"/>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审计学，财务会计与审计，审计学（</w:t>
            </w:r>
            <w:r>
              <w:rPr>
                <w:rFonts w:hint="eastAsia" w:ascii="Times New Roman" w:hAnsi="Times New Roman" w:eastAsia="宋体" w:cs="宋体"/>
                <w:color w:val="000000"/>
                <w:kern w:val="0"/>
                <w:sz w:val="20"/>
                <w:szCs w:val="20"/>
              </w:rPr>
              <w:t>ACCA</w:t>
            </w:r>
            <w:r>
              <w:rPr>
                <w:rFonts w:hint="eastAsia" w:ascii="宋体" w:hAnsi="宋体" w:eastAsia="宋体" w:cs="宋体"/>
                <w:color w:val="000000"/>
                <w:kern w:val="0"/>
                <w:sz w:val="20"/>
                <w:szCs w:val="20"/>
              </w:rPr>
              <w:t>方向），大数据与审计</w:t>
            </w:r>
          </w:p>
        </w:tc>
        <w:tc>
          <w:tcPr>
            <w:tcW w:w="689" w:type="pct"/>
            <w:vMerge w:val="continue"/>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504" w:type="pct"/>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color w:val="auto"/>
                <w:kern w:val="0"/>
                <w:sz w:val="20"/>
                <w:szCs w:val="20"/>
                <w:u w:val="none"/>
              </w:rPr>
            </w:pPr>
            <w:r>
              <w:rPr>
                <w:rFonts w:hint="default" w:ascii="Times New Roman" w:hAnsi="Times New Roman" w:eastAsia="宋体" w:cs="Times New Roman"/>
                <w:kern w:val="0"/>
                <w:sz w:val="20"/>
                <w:szCs w:val="20"/>
              </w:rPr>
              <w:t>报名网址：www.tzjob.com</w:t>
            </w:r>
            <w:r>
              <w:rPr>
                <w:rFonts w:hint="default" w:ascii="Times New Roman" w:hAnsi="Times New Roman" w:eastAsia="宋体" w:cs="Times New Roman"/>
                <w:kern w:val="0"/>
                <w:sz w:val="20"/>
                <w:szCs w:val="20"/>
              </w:rPr>
              <w:br w:type="page"/>
            </w:r>
            <w:r>
              <w:rPr>
                <w:rFonts w:hint="default" w:ascii="Times New Roman" w:hAnsi="Times New Roman" w:eastAsia="宋体" w:cs="Times New Roman"/>
                <w:kern w:val="0"/>
                <w:sz w:val="20"/>
                <w:szCs w:val="20"/>
              </w:rPr>
              <w:t>电子邮箱：</w:t>
            </w:r>
            <w:r>
              <w:rPr>
                <w:rFonts w:hint="default" w:ascii="Times New Roman" w:hAnsi="Times New Roman" w:eastAsia="宋体" w:cs="Times New Roman"/>
                <w:color w:val="auto"/>
                <w:kern w:val="0"/>
                <w:sz w:val="20"/>
                <w:szCs w:val="20"/>
                <w:u w:val="none"/>
              </w:rPr>
              <w:fldChar w:fldCharType="begin"/>
            </w:r>
            <w:r>
              <w:rPr>
                <w:rFonts w:hint="default" w:ascii="Times New Roman" w:hAnsi="Times New Roman" w:eastAsia="宋体" w:cs="Times New Roman"/>
                <w:color w:val="auto"/>
                <w:kern w:val="0"/>
                <w:sz w:val="20"/>
                <w:szCs w:val="20"/>
                <w:u w:val="none"/>
              </w:rPr>
              <w:instrText xml:space="preserve"> HYPERLINK "mailto:tzgxdqzp@126.com" </w:instrText>
            </w:r>
            <w:r>
              <w:rPr>
                <w:rFonts w:hint="default" w:ascii="Times New Roman" w:hAnsi="Times New Roman" w:eastAsia="宋体" w:cs="Times New Roman"/>
                <w:color w:val="auto"/>
                <w:kern w:val="0"/>
                <w:sz w:val="20"/>
                <w:szCs w:val="20"/>
                <w:u w:val="none"/>
              </w:rPr>
              <w:fldChar w:fldCharType="separate"/>
            </w:r>
            <w:r>
              <w:rPr>
                <w:rStyle w:val="6"/>
                <w:rFonts w:hint="default" w:ascii="Times New Roman" w:hAnsi="Times New Roman" w:eastAsia="宋体" w:cs="Times New Roman"/>
                <w:color w:val="auto"/>
                <w:kern w:val="0"/>
                <w:sz w:val="20"/>
                <w:szCs w:val="20"/>
                <w:u w:val="none"/>
              </w:rPr>
              <w:t>tzgxdqzp@126.com</w:t>
            </w:r>
            <w:r>
              <w:rPr>
                <w:rFonts w:hint="default" w:ascii="Times New Roman" w:hAnsi="Times New Roman" w:eastAsia="宋体" w:cs="Times New Roman"/>
                <w:color w:val="auto"/>
                <w:kern w:val="0"/>
                <w:sz w:val="20"/>
                <w:szCs w:val="20"/>
                <w:u w:val="none"/>
              </w:rPr>
              <w:fldChar w:fldCharType="end"/>
            </w:r>
          </w:p>
          <w:p>
            <w:pPr>
              <w:widowControl/>
              <w:spacing w:line="240" w:lineRule="exact"/>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br w:type="page"/>
            </w:r>
            <w:r>
              <w:rPr>
                <w:rFonts w:hint="default" w:ascii="Times New Roman" w:hAnsi="Times New Roman" w:eastAsia="宋体" w:cs="Times New Roman"/>
                <w:kern w:val="0"/>
                <w:sz w:val="20"/>
                <w:szCs w:val="20"/>
              </w:rPr>
              <w:t>咨询电话</w:t>
            </w:r>
            <w:r>
              <w:rPr>
                <w:rFonts w:hint="default" w:ascii="Times New Roman" w:hAnsi="Times New Roman" w:eastAsia="宋体" w:cs="Times New Roman"/>
                <w:kern w:val="0"/>
                <w:sz w:val="20"/>
                <w:szCs w:val="20"/>
                <w:lang w:eastAsia="zh-CN"/>
              </w:rPr>
              <w:t>：</w:t>
            </w:r>
            <w:r>
              <w:rPr>
                <w:rFonts w:hint="default" w:ascii="Times New Roman" w:hAnsi="Times New Roman" w:eastAsia="宋体" w:cs="Times New Roman"/>
                <w:kern w:val="0"/>
                <w:sz w:val="20"/>
                <w:szCs w:val="20"/>
              </w:rPr>
              <w:t>13901435831</w:t>
            </w:r>
          </w:p>
        </w:tc>
        <w:tc>
          <w:tcPr>
            <w:tcW w:w="182" w:type="pct"/>
            <w:vMerge w:val="continue"/>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p>
        </w:tc>
        <w:tc>
          <w:tcPr>
            <w:tcW w:w="275" w:type="pct"/>
            <w:vMerge w:val="continue"/>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p>
        </w:tc>
        <w:tc>
          <w:tcPr>
            <w:tcW w:w="572" w:type="pct"/>
            <w:vMerge w:val="continue"/>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color w:val="000000"/>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56" w:hRule="atLeast"/>
          <w:jc w:val="center"/>
        </w:trPr>
        <w:tc>
          <w:tcPr>
            <w:tcW w:w="275"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Times New Roman"/>
                <w:color w:val="000000"/>
                <w:kern w:val="0"/>
                <w:sz w:val="20"/>
                <w:szCs w:val="20"/>
              </w:rPr>
            </w:pPr>
            <w:r>
              <w:rPr>
                <w:rFonts w:hint="eastAsia" w:ascii="宋体" w:hAnsi="宋体" w:eastAsia="宋体" w:cs="宋体"/>
                <w:color w:val="000000"/>
                <w:kern w:val="0"/>
                <w:sz w:val="20"/>
                <w:szCs w:val="20"/>
              </w:rPr>
              <w:t>医药高新区（高港区）</w:t>
            </w:r>
          </w:p>
        </w:tc>
        <w:tc>
          <w:tcPr>
            <w:tcW w:w="21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hint="eastAsia" w:ascii="Times New Roman" w:hAnsi="Times New Roman" w:eastAsia="宋体" w:cs="宋体"/>
                <w:color w:val="000000"/>
                <w:kern w:val="0"/>
                <w:sz w:val="20"/>
                <w:szCs w:val="20"/>
              </w:rPr>
              <w:t>6B</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color w:val="000000"/>
                <w:kern w:val="0"/>
                <w:sz w:val="20"/>
                <w:szCs w:val="20"/>
              </w:rPr>
              <w:t>泰州鑫泰集团有限公司</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经济类</w:t>
            </w:r>
          </w:p>
        </w:tc>
        <w:tc>
          <w:tcPr>
            <w:tcW w:w="229"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hint="eastAsia" w:ascii="Times New Roman" w:hAnsi="Times New Roman" w:eastAsia="宋体" w:cs="宋体"/>
                <w:color w:val="000000"/>
                <w:kern w:val="0"/>
                <w:sz w:val="20"/>
                <w:szCs w:val="20"/>
              </w:rPr>
              <w:t>6B</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lang w:val="en-US" w:eastAsia="zh-CN"/>
              </w:rPr>
              <w:t>3</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融资专员</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hint="eastAsia" w:ascii="Times New Roman" w:hAnsi="Times New Roman" w:eastAsia="宋体" w:cs="宋体"/>
                <w:color w:val="000000"/>
                <w:kern w:val="0"/>
                <w:sz w:val="20"/>
                <w:szCs w:val="20"/>
              </w:rPr>
              <w:t>1</w:t>
            </w:r>
          </w:p>
        </w:tc>
        <w:tc>
          <w:tcPr>
            <w:tcW w:w="365"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Times New Roman"/>
                <w:kern w:val="0"/>
                <w:sz w:val="20"/>
                <w:szCs w:val="20"/>
              </w:rPr>
            </w:pPr>
            <w:r>
              <w:rPr>
                <w:rFonts w:hint="eastAsia" w:ascii="宋体" w:hAnsi="宋体" w:eastAsia="宋体" w:cs="宋体"/>
                <w:color w:val="000000"/>
                <w:kern w:val="0"/>
                <w:sz w:val="20"/>
                <w:szCs w:val="20"/>
              </w:rPr>
              <w:t>本科及以上</w:t>
            </w:r>
          </w:p>
        </w:tc>
        <w:tc>
          <w:tcPr>
            <w:tcW w:w="687" w:type="pct"/>
            <w:shd w:val="clear" w:color="auto" w:fill="auto"/>
            <w:tcMar>
              <w:top w:w="28" w:type="dxa"/>
              <w:left w:w="57" w:type="dxa"/>
              <w:bottom w:w="28" w:type="dxa"/>
              <w:right w:w="57" w:type="dxa"/>
            </w:tcMar>
            <w:vAlign w:val="center"/>
          </w:tcPr>
          <w:p>
            <w:pPr>
              <w:widowControl/>
              <w:spacing w:line="240" w:lineRule="exact"/>
              <w:jc w:val="both"/>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经济学、金融学、经济与金融、保险学、金融数学、大数据与审计、会计、财政学、数量经济学、产业经济学、统计学、应用经济学、理论经济学</w:t>
            </w:r>
          </w:p>
        </w:tc>
        <w:tc>
          <w:tcPr>
            <w:tcW w:w="689" w:type="pct"/>
            <w:vMerge w:val="continue"/>
            <w:tcMar>
              <w:top w:w="28" w:type="dxa"/>
              <w:left w:w="57" w:type="dxa"/>
              <w:bottom w:w="28" w:type="dxa"/>
              <w:right w:w="57" w:type="dxa"/>
            </w:tcMar>
            <w:vAlign w:val="center"/>
          </w:tcPr>
          <w:p>
            <w:pPr>
              <w:widowControl/>
              <w:spacing w:line="240" w:lineRule="exact"/>
              <w:rPr>
                <w:rFonts w:ascii="宋体" w:hAnsi="宋体" w:eastAsia="宋体" w:cs="宋体"/>
                <w:kern w:val="0"/>
                <w:sz w:val="20"/>
                <w:szCs w:val="20"/>
              </w:rPr>
            </w:pPr>
          </w:p>
        </w:tc>
        <w:tc>
          <w:tcPr>
            <w:tcW w:w="504" w:type="pct"/>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color w:val="auto"/>
                <w:kern w:val="0"/>
                <w:sz w:val="20"/>
                <w:szCs w:val="20"/>
                <w:u w:val="none"/>
              </w:rPr>
            </w:pPr>
            <w:r>
              <w:rPr>
                <w:rFonts w:hint="default" w:ascii="Times New Roman" w:hAnsi="Times New Roman" w:eastAsia="宋体" w:cs="Times New Roman"/>
                <w:kern w:val="0"/>
                <w:sz w:val="20"/>
                <w:szCs w:val="20"/>
              </w:rPr>
              <w:t>报名网址：www.tzjob.com</w:t>
            </w:r>
            <w:r>
              <w:rPr>
                <w:rFonts w:hint="default" w:ascii="Times New Roman" w:hAnsi="Times New Roman" w:eastAsia="宋体" w:cs="Times New Roman"/>
                <w:kern w:val="0"/>
                <w:sz w:val="20"/>
                <w:szCs w:val="20"/>
              </w:rPr>
              <w:br w:type="page"/>
            </w:r>
            <w:r>
              <w:rPr>
                <w:rFonts w:hint="default" w:ascii="Times New Roman" w:hAnsi="Times New Roman" w:eastAsia="宋体" w:cs="Times New Roman"/>
                <w:kern w:val="0"/>
                <w:sz w:val="20"/>
                <w:szCs w:val="20"/>
              </w:rPr>
              <w:t>电子邮箱：</w:t>
            </w:r>
            <w:r>
              <w:rPr>
                <w:rFonts w:hint="default" w:ascii="Times New Roman" w:hAnsi="Times New Roman" w:eastAsia="宋体" w:cs="Times New Roman"/>
                <w:color w:val="auto"/>
                <w:kern w:val="0"/>
                <w:sz w:val="20"/>
                <w:szCs w:val="20"/>
                <w:u w:val="none"/>
              </w:rPr>
              <w:fldChar w:fldCharType="begin"/>
            </w:r>
            <w:r>
              <w:rPr>
                <w:rFonts w:hint="default" w:ascii="Times New Roman" w:hAnsi="Times New Roman" w:eastAsia="宋体" w:cs="Times New Roman"/>
                <w:color w:val="auto"/>
                <w:kern w:val="0"/>
                <w:sz w:val="20"/>
                <w:szCs w:val="20"/>
                <w:u w:val="none"/>
              </w:rPr>
              <w:instrText xml:space="preserve"> HYPERLINK "mailto:tzgxdqzp@126.com" </w:instrText>
            </w:r>
            <w:r>
              <w:rPr>
                <w:rFonts w:hint="default" w:ascii="Times New Roman" w:hAnsi="Times New Roman" w:eastAsia="宋体" w:cs="Times New Roman"/>
                <w:color w:val="auto"/>
                <w:kern w:val="0"/>
                <w:sz w:val="20"/>
                <w:szCs w:val="20"/>
                <w:u w:val="none"/>
              </w:rPr>
              <w:fldChar w:fldCharType="separate"/>
            </w:r>
            <w:r>
              <w:rPr>
                <w:rStyle w:val="6"/>
                <w:rFonts w:hint="default" w:ascii="Times New Roman" w:hAnsi="Times New Roman" w:eastAsia="宋体" w:cs="Times New Roman"/>
                <w:color w:val="auto"/>
                <w:kern w:val="0"/>
                <w:sz w:val="20"/>
                <w:szCs w:val="20"/>
                <w:u w:val="none"/>
              </w:rPr>
              <w:t>tzgxdqzp@126.com</w:t>
            </w:r>
            <w:r>
              <w:rPr>
                <w:rFonts w:hint="default" w:ascii="Times New Roman" w:hAnsi="Times New Roman" w:eastAsia="宋体" w:cs="Times New Roman"/>
                <w:color w:val="auto"/>
                <w:kern w:val="0"/>
                <w:sz w:val="20"/>
                <w:szCs w:val="20"/>
                <w:u w:val="none"/>
              </w:rPr>
              <w:fldChar w:fldCharType="end"/>
            </w:r>
          </w:p>
          <w:p>
            <w:pPr>
              <w:widowControl/>
              <w:spacing w:line="240" w:lineRule="exact"/>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br w:type="page"/>
            </w:r>
            <w:r>
              <w:rPr>
                <w:rFonts w:hint="default" w:ascii="Times New Roman" w:hAnsi="Times New Roman" w:eastAsia="宋体" w:cs="Times New Roman"/>
                <w:kern w:val="0"/>
                <w:sz w:val="20"/>
                <w:szCs w:val="20"/>
              </w:rPr>
              <w:t>咨询电话</w:t>
            </w:r>
            <w:r>
              <w:rPr>
                <w:rFonts w:hint="default" w:ascii="Times New Roman" w:hAnsi="Times New Roman" w:eastAsia="宋体" w:cs="Times New Roman"/>
                <w:kern w:val="0"/>
                <w:sz w:val="20"/>
                <w:szCs w:val="20"/>
                <w:lang w:eastAsia="zh-CN"/>
              </w:rPr>
              <w:t>：</w:t>
            </w:r>
            <w:r>
              <w:rPr>
                <w:rFonts w:hint="default" w:ascii="Times New Roman" w:hAnsi="Times New Roman" w:eastAsia="宋体" w:cs="Times New Roman"/>
                <w:color w:val="000000"/>
                <w:kern w:val="0"/>
                <w:sz w:val="20"/>
                <w:szCs w:val="20"/>
              </w:rPr>
              <w:t>18852644432</w:t>
            </w:r>
          </w:p>
        </w:tc>
        <w:tc>
          <w:tcPr>
            <w:tcW w:w="182" w:type="pct"/>
            <w:vMerge w:val="continue"/>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p>
        </w:tc>
        <w:tc>
          <w:tcPr>
            <w:tcW w:w="275" w:type="pct"/>
            <w:vMerge w:val="continue"/>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p>
        </w:tc>
        <w:tc>
          <w:tcPr>
            <w:tcW w:w="572" w:type="pct"/>
            <w:vMerge w:val="continue"/>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color w:val="000000"/>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96" w:hRule="atLeast"/>
          <w:jc w:val="center"/>
        </w:trPr>
        <w:tc>
          <w:tcPr>
            <w:tcW w:w="275"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医药高新区（高港区）</w:t>
            </w:r>
          </w:p>
        </w:tc>
        <w:tc>
          <w:tcPr>
            <w:tcW w:w="212" w:type="pct"/>
            <w:shd w:val="clear" w:color="auto" w:fill="auto"/>
            <w:tcMar>
              <w:top w:w="28" w:type="dxa"/>
              <w:left w:w="57" w:type="dxa"/>
              <w:bottom w:w="28" w:type="dxa"/>
              <w:right w:w="57" w:type="dxa"/>
            </w:tcMar>
            <w:vAlign w:val="center"/>
          </w:tcPr>
          <w:p>
            <w:pPr>
              <w:widowControl/>
              <w:spacing w:line="240" w:lineRule="exact"/>
              <w:jc w:val="center"/>
              <w:rPr>
                <w:rFonts w:hint="eastAsia" w:ascii="Times New Roman" w:hAnsi="Times New Roman" w:eastAsia="宋体" w:cs="宋体"/>
                <w:color w:val="000000"/>
                <w:kern w:val="0"/>
                <w:sz w:val="20"/>
                <w:szCs w:val="20"/>
              </w:rPr>
            </w:pPr>
            <w:r>
              <w:rPr>
                <w:rFonts w:hint="eastAsia" w:ascii="Times New Roman" w:hAnsi="Times New Roman" w:eastAsia="宋体" w:cs="宋体"/>
                <w:color w:val="000000"/>
                <w:kern w:val="0"/>
                <w:sz w:val="20"/>
                <w:szCs w:val="20"/>
              </w:rPr>
              <w:t>6B</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泰州市新滨江开发有限责任公司</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经济类</w:t>
            </w:r>
          </w:p>
        </w:tc>
        <w:tc>
          <w:tcPr>
            <w:tcW w:w="229" w:type="pct"/>
            <w:shd w:val="clear" w:color="auto" w:fill="auto"/>
            <w:tcMar>
              <w:top w:w="28" w:type="dxa"/>
              <w:left w:w="57" w:type="dxa"/>
              <w:bottom w:w="28" w:type="dxa"/>
              <w:right w:w="57" w:type="dxa"/>
            </w:tcMar>
            <w:vAlign w:val="center"/>
          </w:tcPr>
          <w:p>
            <w:pPr>
              <w:widowControl/>
              <w:spacing w:line="240" w:lineRule="exact"/>
              <w:jc w:val="center"/>
              <w:rPr>
                <w:rFonts w:hint="eastAsia" w:ascii="Times New Roman" w:hAnsi="Times New Roman" w:eastAsia="宋体" w:cs="宋体"/>
                <w:color w:val="000000"/>
                <w:kern w:val="0"/>
                <w:sz w:val="20"/>
                <w:szCs w:val="20"/>
              </w:rPr>
            </w:pPr>
            <w:r>
              <w:rPr>
                <w:rFonts w:hint="eastAsia" w:ascii="Times New Roman" w:hAnsi="Times New Roman" w:eastAsia="宋体" w:cs="宋体"/>
                <w:color w:val="000000"/>
                <w:kern w:val="0"/>
                <w:sz w:val="20"/>
                <w:szCs w:val="20"/>
              </w:rPr>
              <w:t>6B</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lang w:val="en-US" w:eastAsia="zh-CN"/>
              </w:rPr>
              <w:t>4</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融资专员</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hint="eastAsia" w:ascii="Times New Roman" w:hAnsi="Times New Roman" w:eastAsia="宋体" w:cs="宋体"/>
                <w:color w:val="000000"/>
                <w:kern w:val="0"/>
                <w:sz w:val="20"/>
                <w:szCs w:val="20"/>
              </w:rPr>
            </w:pPr>
            <w:r>
              <w:rPr>
                <w:rFonts w:hint="eastAsia" w:ascii="Times New Roman" w:hAnsi="Times New Roman" w:eastAsia="宋体" w:cs="宋体"/>
                <w:color w:val="000000"/>
                <w:kern w:val="0"/>
                <w:sz w:val="20"/>
                <w:szCs w:val="20"/>
              </w:rPr>
              <w:t>1</w:t>
            </w:r>
          </w:p>
        </w:tc>
        <w:tc>
          <w:tcPr>
            <w:tcW w:w="365"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本科及以上</w:t>
            </w:r>
          </w:p>
        </w:tc>
        <w:tc>
          <w:tcPr>
            <w:tcW w:w="687"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经济类、财务财会类</w:t>
            </w:r>
          </w:p>
        </w:tc>
        <w:tc>
          <w:tcPr>
            <w:tcW w:w="689" w:type="pct"/>
            <w:tcMar>
              <w:top w:w="28" w:type="dxa"/>
              <w:left w:w="57" w:type="dxa"/>
              <w:bottom w:w="28" w:type="dxa"/>
              <w:right w:w="57" w:type="dxa"/>
            </w:tcMar>
            <w:vAlign w:val="center"/>
          </w:tcPr>
          <w:p>
            <w:pPr>
              <w:widowControl/>
              <w:numPr>
                <w:ilvl w:val="0"/>
                <w:numId w:val="0"/>
              </w:numPr>
              <w:spacing w:line="240" w:lineRule="exact"/>
              <w:jc w:val="left"/>
              <w:rPr>
                <w:rFonts w:hint="eastAsia" w:ascii="宋体" w:hAnsi="宋体" w:eastAsia="宋体" w:cs="宋体"/>
                <w:kern w:val="0"/>
                <w:sz w:val="20"/>
                <w:szCs w:val="20"/>
              </w:rPr>
            </w:pPr>
            <w:r>
              <w:rPr>
                <w:rFonts w:hint="eastAsia" w:ascii="宋体" w:hAnsi="宋体" w:eastAsia="宋体" w:cs="宋体"/>
                <w:kern w:val="0"/>
                <w:sz w:val="20"/>
                <w:szCs w:val="20"/>
                <w:lang w:val="en-US" w:eastAsia="zh-CN" w:bidi="ar-SA"/>
              </w:rPr>
              <w:t>1.</w:t>
            </w:r>
            <w:r>
              <w:rPr>
                <w:rFonts w:hint="eastAsia" w:ascii="宋体" w:hAnsi="宋体" w:eastAsia="宋体" w:cs="宋体"/>
                <w:kern w:val="0"/>
                <w:sz w:val="20"/>
                <w:szCs w:val="20"/>
              </w:rPr>
              <w:t>毕业院校应具备以下条件之一：</w:t>
            </w:r>
          </w:p>
          <w:p>
            <w:pPr>
              <w:widowControl/>
              <w:numPr>
                <w:ilvl w:val="0"/>
                <w:numId w:val="0"/>
              </w:numPr>
              <w:spacing w:line="240" w:lineRule="exact"/>
              <w:jc w:val="left"/>
              <w:rPr>
                <w:rFonts w:hint="eastAsia" w:ascii="宋体" w:hAnsi="宋体" w:eastAsia="宋体" w:cs="宋体"/>
                <w:kern w:val="0"/>
                <w:sz w:val="20"/>
                <w:szCs w:val="20"/>
                <w:lang w:eastAsia="zh-CN"/>
              </w:rPr>
            </w:pPr>
            <w:r>
              <w:rPr>
                <w:rFonts w:hint="eastAsia" w:ascii="宋体" w:hAnsi="宋体" w:eastAsia="宋体" w:cs="宋体"/>
                <w:kern w:val="0"/>
                <w:sz w:val="20"/>
                <w:szCs w:val="20"/>
              </w:rPr>
              <w:br w:type="page"/>
            </w:r>
            <w:r>
              <w:rPr>
                <w:rFonts w:ascii="宋体" w:hAnsi="宋体" w:eastAsia="宋体" w:cs="宋体"/>
                <w:kern w:val="0"/>
                <w:sz w:val="20"/>
                <w:szCs w:val="20"/>
              </w:rPr>
              <w:t>①</w:t>
            </w:r>
            <w:r>
              <w:rPr>
                <w:rFonts w:hint="eastAsia" w:ascii="宋体" w:hAnsi="宋体" w:eastAsia="宋体" w:cs="宋体"/>
                <w:kern w:val="0"/>
                <w:sz w:val="20"/>
                <w:szCs w:val="20"/>
              </w:rPr>
              <w:t>第一轮“一流大学”建设高校全日制本科毕业生</w:t>
            </w:r>
            <w:r>
              <w:rPr>
                <w:rFonts w:hint="eastAsia" w:ascii="宋体" w:hAnsi="宋体" w:eastAsia="宋体" w:cs="宋体"/>
                <w:kern w:val="0"/>
                <w:sz w:val="20"/>
                <w:szCs w:val="20"/>
                <w:lang w:eastAsia="zh-CN"/>
              </w:rPr>
              <w:t>；</w:t>
            </w:r>
          </w:p>
          <w:p>
            <w:pPr>
              <w:widowControl/>
              <w:numPr>
                <w:ilvl w:val="0"/>
                <w:numId w:val="0"/>
              </w:numPr>
              <w:spacing w:line="240" w:lineRule="exact"/>
              <w:jc w:val="left"/>
              <w:rPr>
                <w:rFonts w:hint="eastAsia" w:ascii="宋体" w:hAnsi="宋体" w:eastAsia="宋体" w:cs="宋体"/>
                <w:kern w:val="0"/>
                <w:sz w:val="20"/>
                <w:szCs w:val="20"/>
                <w:lang w:eastAsia="zh-CN"/>
              </w:rPr>
            </w:pPr>
            <w:r>
              <w:rPr>
                <w:rFonts w:hint="eastAsia" w:ascii="宋体" w:hAnsi="宋体" w:eastAsia="宋体" w:cs="宋体"/>
                <w:kern w:val="0"/>
                <w:sz w:val="20"/>
                <w:szCs w:val="20"/>
              </w:rPr>
              <w:br w:type="page"/>
            </w:r>
            <w:r>
              <w:rPr>
                <w:rFonts w:hint="eastAsia" w:ascii="宋体" w:hAnsi="宋体" w:eastAsia="宋体" w:cs="宋体"/>
                <w:kern w:val="0"/>
                <w:sz w:val="20"/>
                <w:szCs w:val="20"/>
              </w:rPr>
              <w:t>②第一轮“一流大学”建设高校、第二轮“双一流”建设高校全日制硕士研究生及以上学历毕业生（本科须为第二轮“双一流”建设高校全日制毕业生）</w:t>
            </w:r>
            <w:r>
              <w:rPr>
                <w:rFonts w:hint="eastAsia" w:ascii="宋体" w:hAnsi="宋体" w:eastAsia="宋体" w:cs="宋体"/>
                <w:kern w:val="0"/>
                <w:sz w:val="20"/>
                <w:szCs w:val="20"/>
                <w:lang w:eastAsia="zh-CN"/>
              </w:rPr>
              <w:t>；</w:t>
            </w:r>
          </w:p>
          <w:p>
            <w:pPr>
              <w:widowControl/>
              <w:numPr>
                <w:ilvl w:val="0"/>
                <w:numId w:val="0"/>
              </w:numPr>
              <w:spacing w:line="240" w:lineRule="exact"/>
              <w:jc w:val="left"/>
              <w:rPr>
                <w:rFonts w:hint="eastAsia" w:ascii="宋体" w:hAnsi="宋体" w:eastAsia="宋体" w:cs="宋体"/>
                <w:kern w:val="0"/>
                <w:sz w:val="20"/>
                <w:szCs w:val="20"/>
              </w:rPr>
            </w:pPr>
            <w:r>
              <w:rPr>
                <w:rFonts w:hint="eastAsia" w:ascii="宋体" w:hAnsi="宋体" w:eastAsia="宋体" w:cs="宋体"/>
                <w:kern w:val="0"/>
                <w:sz w:val="20"/>
                <w:szCs w:val="20"/>
              </w:rPr>
              <w:br w:type="page"/>
            </w:r>
            <w:r>
              <w:rPr>
                <w:rFonts w:hint="eastAsia" w:ascii="宋体" w:hAnsi="宋体" w:eastAsia="宋体" w:cs="宋体"/>
                <w:kern w:val="0"/>
                <w:sz w:val="20"/>
                <w:szCs w:val="20"/>
              </w:rPr>
              <w:t>③最新世界大学排名榜单（</w:t>
            </w:r>
            <w:r>
              <w:rPr>
                <w:rFonts w:hint="eastAsia" w:ascii="Times New Roman" w:hAnsi="Times New Roman" w:eastAsia="宋体" w:cs="宋体"/>
                <w:kern w:val="0"/>
                <w:sz w:val="20"/>
                <w:szCs w:val="20"/>
              </w:rPr>
              <w:t>QS</w:t>
            </w:r>
            <w:r>
              <w:rPr>
                <w:rFonts w:hint="eastAsia" w:ascii="宋体" w:hAnsi="宋体" w:eastAsia="宋体" w:cs="宋体"/>
                <w:kern w:val="0"/>
                <w:sz w:val="20"/>
                <w:szCs w:val="20"/>
              </w:rPr>
              <w:t>、</w:t>
            </w:r>
            <w:r>
              <w:rPr>
                <w:rFonts w:hint="eastAsia" w:ascii="Times New Roman" w:hAnsi="Times New Roman" w:eastAsia="宋体" w:cs="宋体"/>
                <w:kern w:val="0"/>
                <w:sz w:val="20"/>
                <w:szCs w:val="20"/>
              </w:rPr>
              <w:t>THE</w:t>
            </w:r>
            <w:r>
              <w:rPr>
                <w:rFonts w:hint="eastAsia" w:ascii="宋体" w:hAnsi="宋体" w:eastAsia="宋体" w:cs="宋体"/>
                <w:kern w:val="0"/>
                <w:sz w:val="20"/>
                <w:szCs w:val="20"/>
              </w:rPr>
              <w:t>、</w:t>
            </w:r>
            <w:r>
              <w:rPr>
                <w:rFonts w:hint="eastAsia" w:ascii="Times New Roman" w:hAnsi="Times New Roman" w:eastAsia="宋体" w:cs="宋体"/>
                <w:kern w:val="0"/>
                <w:sz w:val="20"/>
                <w:szCs w:val="20"/>
              </w:rPr>
              <w:t>U</w:t>
            </w:r>
            <w:r>
              <w:rPr>
                <w:rFonts w:hint="eastAsia" w:ascii="宋体" w:hAnsi="宋体" w:eastAsia="宋体" w:cs="宋体"/>
                <w:kern w:val="0"/>
                <w:sz w:val="20"/>
                <w:szCs w:val="20"/>
              </w:rPr>
              <w:t>.</w:t>
            </w:r>
            <w:r>
              <w:rPr>
                <w:rFonts w:hint="eastAsia" w:ascii="Times New Roman" w:hAnsi="Times New Roman" w:eastAsia="宋体" w:cs="宋体"/>
                <w:kern w:val="0"/>
                <w:sz w:val="20"/>
                <w:szCs w:val="20"/>
              </w:rPr>
              <w:t>S</w:t>
            </w:r>
            <w:r>
              <w:rPr>
                <w:rFonts w:hint="eastAsia" w:ascii="宋体" w:hAnsi="宋体" w:eastAsia="宋体" w:cs="宋体"/>
                <w:kern w:val="0"/>
                <w:sz w:val="20"/>
                <w:szCs w:val="20"/>
              </w:rPr>
              <w:t>.</w:t>
            </w:r>
            <w:r>
              <w:rPr>
                <w:rFonts w:hint="eastAsia" w:ascii="Times New Roman" w:hAnsi="Times New Roman" w:eastAsia="宋体" w:cs="宋体"/>
                <w:kern w:val="0"/>
                <w:sz w:val="20"/>
                <w:szCs w:val="20"/>
              </w:rPr>
              <w:t>NEWS</w:t>
            </w:r>
            <w:r>
              <w:rPr>
                <w:rFonts w:hint="eastAsia" w:ascii="宋体" w:hAnsi="宋体" w:eastAsia="宋体" w:cs="宋体"/>
                <w:kern w:val="0"/>
                <w:sz w:val="20"/>
                <w:szCs w:val="20"/>
              </w:rPr>
              <w:t>、</w:t>
            </w:r>
            <w:r>
              <w:rPr>
                <w:rFonts w:hint="eastAsia" w:ascii="Times New Roman" w:hAnsi="Times New Roman" w:eastAsia="宋体" w:cs="宋体"/>
                <w:kern w:val="0"/>
                <w:sz w:val="20"/>
                <w:szCs w:val="20"/>
              </w:rPr>
              <w:t>ARWU</w:t>
            </w:r>
            <w:r>
              <w:rPr>
                <w:rFonts w:hint="eastAsia" w:ascii="宋体" w:hAnsi="宋体" w:eastAsia="宋体" w:cs="宋体"/>
                <w:kern w:val="0"/>
                <w:sz w:val="20"/>
                <w:szCs w:val="20"/>
              </w:rPr>
              <w:t>、</w:t>
            </w:r>
            <w:r>
              <w:rPr>
                <w:rFonts w:hint="eastAsia" w:ascii="Times New Roman" w:hAnsi="Times New Roman" w:eastAsia="宋体" w:cs="宋体"/>
                <w:kern w:val="0"/>
                <w:sz w:val="20"/>
                <w:szCs w:val="20"/>
              </w:rPr>
              <w:t>CWUR</w:t>
            </w:r>
            <w:r>
              <w:rPr>
                <w:rFonts w:hint="eastAsia" w:ascii="宋体" w:hAnsi="宋体" w:eastAsia="宋体" w:cs="宋体"/>
                <w:kern w:val="0"/>
                <w:sz w:val="20"/>
                <w:szCs w:val="20"/>
              </w:rPr>
              <w:t>）前</w:t>
            </w:r>
            <w:r>
              <w:rPr>
                <w:rFonts w:hint="eastAsia" w:ascii="Times New Roman" w:hAnsi="Times New Roman" w:eastAsia="宋体" w:cs="宋体"/>
                <w:kern w:val="0"/>
                <w:sz w:val="20"/>
                <w:szCs w:val="20"/>
              </w:rPr>
              <w:t>100</w:t>
            </w:r>
            <w:r>
              <w:rPr>
                <w:rFonts w:hint="eastAsia" w:ascii="宋体" w:hAnsi="宋体" w:eastAsia="宋体" w:cs="宋体"/>
                <w:kern w:val="0"/>
                <w:sz w:val="20"/>
                <w:szCs w:val="20"/>
              </w:rPr>
              <w:t>名国（境）外高校的全日制硕士研究生及以上学历毕业生（本科须为第二轮“双一流”建设高校全日制毕业生）。</w:t>
            </w:r>
          </w:p>
          <w:p>
            <w:pPr>
              <w:widowControl/>
              <w:numPr>
                <w:ilvl w:val="0"/>
                <w:numId w:val="0"/>
              </w:numPr>
              <w:spacing w:line="240" w:lineRule="exact"/>
              <w:jc w:val="left"/>
              <w:rPr>
                <w:rFonts w:hint="eastAsia" w:ascii="宋体" w:hAnsi="宋体" w:eastAsia="宋体" w:cs="宋体"/>
                <w:kern w:val="0"/>
                <w:sz w:val="20"/>
                <w:szCs w:val="20"/>
                <w:lang w:eastAsia="zh-CN"/>
              </w:rPr>
            </w:pPr>
            <w:r>
              <w:rPr>
                <w:rFonts w:hint="eastAsia" w:ascii="宋体" w:hAnsi="宋体" w:eastAsia="宋体" w:cs="宋体"/>
                <w:kern w:val="0"/>
                <w:sz w:val="20"/>
                <w:szCs w:val="20"/>
              </w:rPr>
              <w:br w:type="page"/>
            </w:r>
            <w:r>
              <w:rPr>
                <w:rFonts w:hint="eastAsia" w:ascii="Times New Roman" w:hAnsi="Times New Roman" w:eastAsia="宋体" w:cs="宋体"/>
                <w:kern w:val="0"/>
                <w:sz w:val="20"/>
                <w:szCs w:val="20"/>
              </w:rPr>
              <w:t>2</w:t>
            </w:r>
            <w:r>
              <w:rPr>
                <w:rFonts w:hint="eastAsia" w:ascii="宋体" w:hAnsi="宋体" w:eastAsia="宋体" w:cs="宋体"/>
                <w:kern w:val="0"/>
                <w:sz w:val="20"/>
                <w:szCs w:val="20"/>
              </w:rPr>
              <w:t>.责任心强，开拓能力强，有较好的沟通协调能力</w:t>
            </w:r>
            <w:r>
              <w:rPr>
                <w:rFonts w:hint="eastAsia" w:ascii="宋体" w:hAnsi="宋体" w:eastAsia="宋体" w:cs="宋体"/>
                <w:kern w:val="0"/>
                <w:sz w:val="20"/>
                <w:szCs w:val="20"/>
                <w:lang w:eastAsia="zh-CN"/>
              </w:rPr>
              <w:t>。</w:t>
            </w:r>
          </w:p>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br w:type="page"/>
            </w:r>
            <w:r>
              <w:rPr>
                <w:rFonts w:hint="eastAsia" w:ascii="Times New Roman" w:hAnsi="Times New Roman" w:eastAsia="宋体" w:cs="宋体"/>
                <w:kern w:val="0"/>
                <w:sz w:val="20"/>
                <w:szCs w:val="20"/>
              </w:rPr>
              <w:t>3</w:t>
            </w:r>
            <w:r>
              <w:rPr>
                <w:rFonts w:hint="eastAsia" w:ascii="宋体" w:hAnsi="宋体" w:eastAsia="宋体" w:cs="宋体"/>
                <w:kern w:val="0"/>
                <w:sz w:val="20"/>
                <w:szCs w:val="20"/>
              </w:rPr>
              <w:t>.熟悉金融政策及相关法律法规。</w:t>
            </w:r>
          </w:p>
        </w:tc>
        <w:tc>
          <w:tcPr>
            <w:tcW w:w="504" w:type="pct"/>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报名网址：www.tzjob.com</w:t>
            </w:r>
            <w:r>
              <w:rPr>
                <w:rFonts w:hint="default" w:ascii="Times New Roman" w:hAnsi="Times New Roman" w:eastAsia="宋体" w:cs="Times New Roman"/>
                <w:kern w:val="0"/>
                <w:sz w:val="20"/>
                <w:szCs w:val="20"/>
              </w:rPr>
              <w:br w:type="textWrapping"/>
            </w:r>
            <w:r>
              <w:rPr>
                <w:rFonts w:hint="default" w:ascii="Times New Roman" w:hAnsi="Times New Roman" w:eastAsia="宋体" w:cs="Times New Roman"/>
                <w:kern w:val="0"/>
                <w:sz w:val="20"/>
                <w:szCs w:val="20"/>
              </w:rPr>
              <w:t>电子邮箱：tzgxdqzp@126.com</w:t>
            </w:r>
            <w:r>
              <w:rPr>
                <w:rFonts w:hint="default" w:ascii="Times New Roman" w:hAnsi="Times New Roman" w:eastAsia="宋体" w:cs="Times New Roman"/>
                <w:kern w:val="0"/>
                <w:sz w:val="20"/>
                <w:szCs w:val="20"/>
              </w:rPr>
              <w:br w:type="textWrapping"/>
            </w:r>
            <w:r>
              <w:rPr>
                <w:rFonts w:hint="default" w:ascii="Times New Roman" w:hAnsi="Times New Roman" w:eastAsia="宋体" w:cs="Times New Roman"/>
                <w:kern w:val="0"/>
                <w:sz w:val="20"/>
                <w:szCs w:val="20"/>
              </w:rPr>
              <w:t>咨询电话：18051186568</w:t>
            </w:r>
          </w:p>
        </w:tc>
        <w:tc>
          <w:tcPr>
            <w:tcW w:w="182" w:type="pct"/>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2</w:t>
            </w:r>
          </w:p>
        </w:tc>
        <w:tc>
          <w:tcPr>
            <w:tcW w:w="275" w:type="pct"/>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结构化面谈+无领导小组讨论</w:t>
            </w:r>
          </w:p>
        </w:tc>
        <w:tc>
          <w:tcPr>
            <w:tcW w:w="572" w:type="pct"/>
            <w:tcMar>
              <w:top w:w="28" w:type="dxa"/>
              <w:left w:w="57" w:type="dxa"/>
              <w:bottom w:w="28" w:type="dxa"/>
              <w:right w:w="57" w:type="dxa"/>
            </w:tcMar>
            <w:vAlign w:val="center"/>
          </w:tcPr>
          <w:p>
            <w:pPr>
              <w:widowControl/>
              <w:numPr>
                <w:ilvl w:val="0"/>
                <w:numId w:val="0"/>
              </w:numPr>
              <w:spacing w:line="240" w:lineRule="exact"/>
              <w:jc w:val="both"/>
              <w:rPr>
                <w:rFonts w:hint="eastAsia" w:ascii="Times New Roman" w:hAnsi="Times New Roman" w:eastAsia="宋体" w:cs="Times New Roman"/>
                <w:color w:val="000000"/>
                <w:kern w:val="0"/>
                <w:sz w:val="20"/>
                <w:szCs w:val="20"/>
                <w:lang w:eastAsia="zh-CN"/>
              </w:rPr>
            </w:pPr>
            <w:r>
              <w:rPr>
                <w:rFonts w:hint="eastAsia" w:ascii="Times New Roman" w:hAnsi="Times New Roman" w:eastAsia="宋体" w:cs="宋体"/>
                <w:color w:val="000000"/>
                <w:kern w:val="0"/>
                <w:sz w:val="20"/>
                <w:szCs w:val="20"/>
              </w:rPr>
              <w:t>1</w:t>
            </w:r>
            <w:r>
              <w:rPr>
                <w:rFonts w:hint="eastAsia" w:ascii="宋体" w:hAnsi="宋体" w:eastAsia="宋体" w:cs="宋体"/>
                <w:color w:val="000000"/>
                <w:kern w:val="0"/>
                <w:sz w:val="20"/>
                <w:szCs w:val="20"/>
              </w:rPr>
              <w:t>.工作前</w:t>
            </w:r>
            <w:r>
              <w:rPr>
                <w:rFonts w:ascii="Times New Roman" w:hAnsi="Times New Roman" w:eastAsia="宋体" w:cs="Times New Roman"/>
                <w:color w:val="000000"/>
                <w:kern w:val="0"/>
                <w:sz w:val="20"/>
                <w:szCs w:val="20"/>
              </w:rPr>
              <w:t>3</w:t>
            </w:r>
            <w:r>
              <w:rPr>
                <w:rFonts w:hint="eastAsia" w:ascii="宋体" w:hAnsi="宋体" w:eastAsia="宋体" w:cs="宋体"/>
                <w:color w:val="000000"/>
                <w:kern w:val="0"/>
                <w:sz w:val="20"/>
                <w:szCs w:val="20"/>
              </w:rPr>
              <w:t>年为培养锻炼期，培养锻炼期薪酬待遇一般高于</w:t>
            </w:r>
            <w:r>
              <w:rPr>
                <w:rFonts w:hint="eastAsia" w:ascii="宋体" w:hAnsi="宋体" w:eastAsia="宋体" w:cs="宋体"/>
                <w:color w:val="000000"/>
                <w:kern w:val="0"/>
                <w:sz w:val="20"/>
                <w:szCs w:val="20"/>
                <w:lang w:val="en-US" w:eastAsia="zh-CN"/>
              </w:rPr>
              <w:t>区本级</w:t>
            </w:r>
            <w:r>
              <w:rPr>
                <w:rFonts w:hint="eastAsia" w:ascii="宋体" w:hAnsi="宋体" w:eastAsia="宋体" w:cs="宋体"/>
                <w:color w:val="000000"/>
                <w:kern w:val="0"/>
                <w:sz w:val="20"/>
                <w:szCs w:val="20"/>
              </w:rPr>
              <w:t>同</w:t>
            </w:r>
            <w:r>
              <w:rPr>
                <w:rFonts w:hint="eastAsia" w:ascii="宋体" w:hAnsi="宋体" w:eastAsia="宋体" w:cs="宋体"/>
                <w:color w:val="000000"/>
                <w:kern w:val="0"/>
                <w:sz w:val="20"/>
                <w:szCs w:val="20"/>
                <w:lang w:val="en-US" w:eastAsia="zh-CN"/>
              </w:rPr>
              <w:t>类</w:t>
            </w:r>
            <w:r>
              <w:rPr>
                <w:rFonts w:hint="eastAsia" w:ascii="宋体" w:hAnsi="宋体" w:eastAsia="宋体" w:cs="宋体"/>
                <w:color w:val="000000"/>
                <w:kern w:val="0"/>
                <w:sz w:val="20"/>
                <w:szCs w:val="20"/>
              </w:rPr>
              <w:t>事业人员</w:t>
            </w:r>
            <w:r>
              <w:rPr>
                <w:rFonts w:ascii="Times New Roman" w:hAnsi="Times New Roman" w:eastAsia="宋体" w:cs="Times New Roman"/>
                <w:color w:val="000000"/>
                <w:kern w:val="0"/>
                <w:sz w:val="20"/>
                <w:szCs w:val="20"/>
              </w:rPr>
              <w:t>30%</w:t>
            </w:r>
            <w:r>
              <w:rPr>
                <w:rFonts w:hint="eastAsia" w:ascii="宋体" w:hAnsi="宋体" w:eastAsia="宋体" w:cs="宋体"/>
                <w:color w:val="000000"/>
                <w:kern w:val="0"/>
                <w:sz w:val="20"/>
                <w:szCs w:val="20"/>
              </w:rPr>
              <w:t>，培养锻炼期满后按照聘任岗位领取薪酬。</w:t>
            </w:r>
            <w:r>
              <w:rPr>
                <w:rFonts w:hint="eastAsia" w:ascii="宋体" w:hAnsi="宋体" w:eastAsia="宋体" w:cs="宋体"/>
                <w:color w:val="000000"/>
                <w:kern w:val="0"/>
                <w:sz w:val="20"/>
                <w:szCs w:val="20"/>
              </w:rPr>
              <w:br w:type="textWrapping"/>
            </w:r>
            <w:r>
              <w:rPr>
                <w:rFonts w:hint="eastAsia" w:ascii="Times New Roman" w:hAnsi="Times New Roman" w:eastAsia="宋体" w:cs="宋体"/>
                <w:color w:val="000000"/>
                <w:kern w:val="0"/>
                <w:sz w:val="20"/>
                <w:szCs w:val="20"/>
              </w:rPr>
              <w:t>2</w:t>
            </w:r>
            <w:r>
              <w:rPr>
                <w:rFonts w:hint="eastAsia" w:ascii="宋体" w:hAnsi="宋体" w:eastAsia="宋体" w:cs="宋体"/>
                <w:color w:val="000000"/>
                <w:kern w:val="0"/>
                <w:sz w:val="20"/>
                <w:szCs w:val="20"/>
              </w:rPr>
              <w:t>.可申请享受企业引进高层次人才相关</w:t>
            </w:r>
            <w:r>
              <w:rPr>
                <w:rFonts w:hint="eastAsia" w:ascii="宋体" w:hAnsi="宋体" w:eastAsia="宋体" w:cs="宋体"/>
                <w:color w:val="000000"/>
                <w:kern w:val="0"/>
                <w:sz w:val="20"/>
                <w:szCs w:val="20"/>
                <w:lang w:val="en-US" w:eastAsia="zh-CN"/>
              </w:rPr>
              <w:t>补贴</w:t>
            </w:r>
            <w:r>
              <w:rPr>
                <w:rFonts w:hint="eastAsia" w:ascii="宋体" w:hAnsi="宋体" w:eastAsia="宋体" w:cs="宋体"/>
                <w:color w:val="000000"/>
                <w:kern w:val="0"/>
                <w:sz w:val="20"/>
                <w:szCs w:val="20"/>
              </w:rPr>
              <w:t>待遇。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032" w:hRule="atLeast"/>
          <w:jc w:val="center"/>
        </w:trPr>
        <w:tc>
          <w:tcPr>
            <w:tcW w:w="275"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医药高新区（高港区）</w:t>
            </w:r>
          </w:p>
        </w:tc>
        <w:tc>
          <w:tcPr>
            <w:tcW w:w="212" w:type="pct"/>
            <w:shd w:val="clear" w:color="auto" w:fill="auto"/>
            <w:tcMar>
              <w:top w:w="28" w:type="dxa"/>
              <w:left w:w="57" w:type="dxa"/>
              <w:bottom w:w="28" w:type="dxa"/>
              <w:right w:w="57" w:type="dxa"/>
            </w:tcMar>
            <w:vAlign w:val="center"/>
          </w:tcPr>
          <w:p>
            <w:pPr>
              <w:widowControl/>
              <w:spacing w:line="240" w:lineRule="exact"/>
              <w:jc w:val="center"/>
              <w:rPr>
                <w:rFonts w:hint="eastAsia" w:ascii="Times New Roman" w:hAnsi="Times New Roman" w:eastAsia="宋体" w:cs="宋体"/>
                <w:color w:val="000000"/>
                <w:kern w:val="0"/>
                <w:sz w:val="20"/>
                <w:szCs w:val="20"/>
              </w:rPr>
            </w:pPr>
            <w:r>
              <w:rPr>
                <w:rFonts w:hint="eastAsia" w:ascii="Times New Roman" w:hAnsi="Times New Roman" w:eastAsia="宋体" w:cs="宋体"/>
                <w:color w:val="000000"/>
                <w:kern w:val="0"/>
                <w:sz w:val="20"/>
                <w:szCs w:val="20"/>
              </w:rPr>
              <w:t>6B</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泰州市高港高新区开发建设有限责任公司</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经济类</w:t>
            </w:r>
          </w:p>
        </w:tc>
        <w:tc>
          <w:tcPr>
            <w:tcW w:w="229" w:type="pct"/>
            <w:shd w:val="clear" w:color="auto" w:fill="auto"/>
            <w:tcMar>
              <w:top w:w="28" w:type="dxa"/>
              <w:left w:w="57" w:type="dxa"/>
              <w:bottom w:w="28" w:type="dxa"/>
              <w:right w:w="57" w:type="dxa"/>
            </w:tcMar>
            <w:vAlign w:val="center"/>
          </w:tcPr>
          <w:p>
            <w:pPr>
              <w:widowControl/>
              <w:spacing w:line="240" w:lineRule="exact"/>
              <w:jc w:val="center"/>
              <w:rPr>
                <w:rFonts w:hint="eastAsia" w:ascii="Times New Roman" w:hAnsi="Times New Roman" w:eastAsia="宋体" w:cs="宋体"/>
                <w:color w:val="000000"/>
                <w:kern w:val="0"/>
                <w:sz w:val="20"/>
                <w:szCs w:val="20"/>
              </w:rPr>
            </w:pPr>
            <w:r>
              <w:rPr>
                <w:rFonts w:hint="eastAsia" w:ascii="Times New Roman" w:hAnsi="Times New Roman" w:eastAsia="宋体" w:cs="宋体"/>
                <w:color w:val="000000"/>
                <w:kern w:val="0"/>
                <w:sz w:val="20"/>
                <w:szCs w:val="20"/>
              </w:rPr>
              <w:t>6B</w:t>
            </w:r>
            <w:r>
              <w:rPr>
                <w:rFonts w:hint="eastAsia" w:ascii="宋体" w:hAnsi="宋体" w:eastAsia="宋体" w:cs="宋体"/>
                <w:color w:val="000000"/>
                <w:kern w:val="0"/>
                <w:sz w:val="20"/>
                <w:szCs w:val="20"/>
              </w:rPr>
              <w:t>-</w:t>
            </w:r>
            <w:r>
              <w:rPr>
                <w:rFonts w:hint="eastAsia" w:ascii="Times New Roman" w:hAnsi="Times New Roman" w:eastAsia="宋体" w:cs="宋体"/>
                <w:color w:val="000000"/>
                <w:kern w:val="0"/>
                <w:sz w:val="20"/>
                <w:szCs w:val="20"/>
              </w:rPr>
              <w:t>5</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融资专员</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hint="eastAsia" w:ascii="Times New Roman" w:hAnsi="Times New Roman" w:eastAsia="宋体" w:cs="宋体"/>
                <w:color w:val="000000"/>
                <w:kern w:val="0"/>
                <w:sz w:val="20"/>
                <w:szCs w:val="20"/>
              </w:rPr>
            </w:pPr>
            <w:r>
              <w:rPr>
                <w:rFonts w:hint="eastAsia" w:ascii="Times New Roman" w:hAnsi="Times New Roman" w:eastAsia="宋体" w:cs="宋体"/>
                <w:color w:val="000000"/>
                <w:kern w:val="0"/>
                <w:sz w:val="20"/>
                <w:szCs w:val="20"/>
              </w:rPr>
              <w:t>1</w:t>
            </w:r>
          </w:p>
        </w:tc>
        <w:tc>
          <w:tcPr>
            <w:tcW w:w="365"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本科及以上</w:t>
            </w:r>
          </w:p>
        </w:tc>
        <w:tc>
          <w:tcPr>
            <w:tcW w:w="687" w:type="pct"/>
            <w:shd w:val="clear" w:color="auto" w:fill="auto"/>
            <w:tcMar>
              <w:top w:w="28" w:type="dxa"/>
              <w:left w:w="57" w:type="dxa"/>
              <w:bottom w:w="28" w:type="dxa"/>
              <w:right w:w="57" w:type="dxa"/>
            </w:tcMar>
            <w:vAlign w:val="center"/>
          </w:tcPr>
          <w:p>
            <w:pPr>
              <w:widowControl/>
              <w:spacing w:line="240" w:lineRule="exact"/>
              <w:jc w:val="both"/>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经济学</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rPr>
              <w:t>国际经济与贸易</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rPr>
              <w:t>财政学</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rPr>
              <w:t>金融学</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rPr>
              <w:t>国民经济管理</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rPr>
              <w:t>贸易经济</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rPr>
              <w:t>税务</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rPr>
              <w:t>经济与金融，金融管理</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rPr>
              <w:t>金融</w:t>
            </w:r>
          </w:p>
        </w:tc>
        <w:tc>
          <w:tcPr>
            <w:tcW w:w="689" w:type="pct"/>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r>
              <w:rPr>
                <w:rFonts w:hint="eastAsia" w:ascii="Times New Roman" w:hAnsi="Times New Roman" w:eastAsia="宋体" w:cs="宋体"/>
                <w:color w:val="000000"/>
                <w:kern w:val="0"/>
                <w:sz w:val="20"/>
                <w:szCs w:val="20"/>
              </w:rPr>
              <w:t>1</w:t>
            </w:r>
            <w:r>
              <w:rPr>
                <w:rFonts w:hint="eastAsia" w:ascii="宋体" w:hAnsi="宋体" w:eastAsia="宋体" w:cs="宋体"/>
                <w:color w:val="000000"/>
                <w:kern w:val="0"/>
                <w:sz w:val="20"/>
                <w:szCs w:val="20"/>
              </w:rPr>
              <w:t>.毕业院校应具备以下条件之一：</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①第一轮“一流大学”建设高校全日制本科毕业生。</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②第一轮“一流大学”建设高校、第二轮“双一流”建设高校全日制硕士研究生及以上学历毕业生（本科须为第二轮“双一流”建设高校全日制毕业生）。</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③最新世界大学排名榜单（</w:t>
            </w:r>
            <w:r>
              <w:rPr>
                <w:rFonts w:hint="eastAsia" w:ascii="Times New Roman" w:hAnsi="Times New Roman" w:eastAsia="宋体" w:cs="宋体"/>
                <w:color w:val="000000"/>
                <w:kern w:val="0"/>
                <w:sz w:val="20"/>
                <w:szCs w:val="20"/>
              </w:rPr>
              <w:t>QS</w:t>
            </w:r>
            <w:r>
              <w:rPr>
                <w:rFonts w:hint="eastAsia" w:ascii="宋体" w:hAnsi="宋体" w:eastAsia="宋体" w:cs="宋体"/>
                <w:color w:val="000000"/>
                <w:kern w:val="0"/>
                <w:sz w:val="20"/>
                <w:szCs w:val="20"/>
              </w:rPr>
              <w:t>、</w:t>
            </w:r>
            <w:r>
              <w:rPr>
                <w:rFonts w:hint="eastAsia" w:ascii="Times New Roman" w:hAnsi="Times New Roman" w:eastAsia="宋体" w:cs="宋体"/>
                <w:color w:val="000000"/>
                <w:kern w:val="0"/>
                <w:sz w:val="20"/>
                <w:szCs w:val="20"/>
              </w:rPr>
              <w:t>THE</w:t>
            </w:r>
            <w:r>
              <w:rPr>
                <w:rFonts w:hint="eastAsia" w:ascii="宋体" w:hAnsi="宋体" w:eastAsia="宋体" w:cs="宋体"/>
                <w:color w:val="000000"/>
                <w:kern w:val="0"/>
                <w:sz w:val="20"/>
                <w:szCs w:val="20"/>
              </w:rPr>
              <w:t>、</w:t>
            </w:r>
            <w:r>
              <w:rPr>
                <w:rFonts w:hint="eastAsia" w:ascii="Times New Roman" w:hAnsi="Times New Roman" w:eastAsia="宋体" w:cs="宋体"/>
                <w:color w:val="000000"/>
                <w:kern w:val="0"/>
                <w:sz w:val="20"/>
                <w:szCs w:val="20"/>
              </w:rPr>
              <w:t>U</w:t>
            </w:r>
            <w:r>
              <w:rPr>
                <w:rFonts w:hint="eastAsia" w:ascii="宋体" w:hAnsi="宋体" w:eastAsia="宋体" w:cs="宋体"/>
                <w:color w:val="000000"/>
                <w:kern w:val="0"/>
                <w:sz w:val="20"/>
                <w:szCs w:val="20"/>
              </w:rPr>
              <w:t>.</w:t>
            </w:r>
            <w:r>
              <w:rPr>
                <w:rFonts w:hint="eastAsia" w:ascii="Times New Roman" w:hAnsi="Times New Roman" w:eastAsia="宋体" w:cs="宋体"/>
                <w:color w:val="000000"/>
                <w:kern w:val="0"/>
                <w:sz w:val="20"/>
                <w:szCs w:val="20"/>
              </w:rPr>
              <w:t>S</w:t>
            </w:r>
            <w:r>
              <w:rPr>
                <w:rFonts w:hint="eastAsia" w:ascii="宋体" w:hAnsi="宋体" w:eastAsia="宋体" w:cs="宋体"/>
                <w:color w:val="000000"/>
                <w:kern w:val="0"/>
                <w:sz w:val="20"/>
                <w:szCs w:val="20"/>
              </w:rPr>
              <w:t>.</w:t>
            </w:r>
            <w:r>
              <w:rPr>
                <w:rFonts w:hint="eastAsia" w:ascii="Times New Roman" w:hAnsi="Times New Roman" w:eastAsia="宋体" w:cs="宋体"/>
                <w:color w:val="000000"/>
                <w:kern w:val="0"/>
                <w:sz w:val="20"/>
                <w:szCs w:val="20"/>
              </w:rPr>
              <w:t>NEWS</w:t>
            </w:r>
            <w:r>
              <w:rPr>
                <w:rFonts w:hint="eastAsia" w:ascii="宋体" w:hAnsi="宋体" w:eastAsia="宋体" w:cs="宋体"/>
                <w:color w:val="000000"/>
                <w:kern w:val="0"/>
                <w:sz w:val="20"/>
                <w:szCs w:val="20"/>
              </w:rPr>
              <w:t>、</w:t>
            </w:r>
            <w:r>
              <w:rPr>
                <w:rFonts w:hint="eastAsia" w:ascii="Times New Roman" w:hAnsi="Times New Roman" w:eastAsia="宋体" w:cs="宋体"/>
                <w:color w:val="000000"/>
                <w:kern w:val="0"/>
                <w:sz w:val="20"/>
                <w:szCs w:val="20"/>
              </w:rPr>
              <w:t>ARWU</w:t>
            </w:r>
            <w:r>
              <w:rPr>
                <w:rFonts w:hint="eastAsia" w:ascii="宋体" w:hAnsi="宋体" w:eastAsia="宋体" w:cs="宋体"/>
                <w:color w:val="000000"/>
                <w:kern w:val="0"/>
                <w:sz w:val="20"/>
                <w:szCs w:val="20"/>
              </w:rPr>
              <w:t>、</w:t>
            </w:r>
            <w:r>
              <w:rPr>
                <w:rFonts w:hint="eastAsia" w:ascii="Times New Roman" w:hAnsi="Times New Roman" w:eastAsia="宋体" w:cs="宋体"/>
                <w:color w:val="000000"/>
                <w:kern w:val="0"/>
                <w:sz w:val="20"/>
                <w:szCs w:val="20"/>
              </w:rPr>
              <w:t>CWUR</w:t>
            </w:r>
            <w:r>
              <w:rPr>
                <w:rFonts w:hint="eastAsia" w:ascii="宋体" w:hAnsi="宋体" w:eastAsia="宋体" w:cs="宋体"/>
                <w:color w:val="000000"/>
                <w:kern w:val="0"/>
                <w:sz w:val="20"/>
                <w:szCs w:val="20"/>
              </w:rPr>
              <w:t>）前</w:t>
            </w:r>
            <w:r>
              <w:rPr>
                <w:rFonts w:hint="eastAsia" w:ascii="Times New Roman" w:hAnsi="Times New Roman" w:eastAsia="宋体" w:cs="宋体"/>
                <w:color w:val="000000"/>
                <w:kern w:val="0"/>
                <w:sz w:val="20"/>
                <w:szCs w:val="20"/>
              </w:rPr>
              <w:t>100</w:t>
            </w:r>
            <w:r>
              <w:rPr>
                <w:rFonts w:hint="eastAsia" w:ascii="宋体" w:hAnsi="宋体" w:eastAsia="宋体" w:cs="宋体"/>
                <w:color w:val="000000"/>
                <w:kern w:val="0"/>
                <w:sz w:val="20"/>
                <w:szCs w:val="20"/>
              </w:rPr>
              <w:t>名国（境）外高校的全日制硕士研究生及以上学历毕业生（本科须为第二轮“双一流”建设高校全日制毕业生）。</w:t>
            </w:r>
            <w:r>
              <w:rPr>
                <w:rFonts w:hint="eastAsia" w:ascii="宋体" w:hAnsi="宋体" w:eastAsia="宋体" w:cs="宋体"/>
                <w:color w:val="000000"/>
                <w:kern w:val="0"/>
                <w:sz w:val="20"/>
                <w:szCs w:val="20"/>
              </w:rPr>
              <w:br w:type="textWrapping"/>
            </w:r>
            <w:r>
              <w:rPr>
                <w:rFonts w:hint="eastAsia" w:ascii="Times New Roman" w:hAnsi="Times New Roman" w:eastAsia="宋体" w:cs="宋体"/>
                <w:color w:val="000000"/>
                <w:kern w:val="0"/>
                <w:sz w:val="20"/>
                <w:szCs w:val="20"/>
              </w:rPr>
              <w:t>2</w:t>
            </w:r>
            <w:r>
              <w:rPr>
                <w:rFonts w:hint="eastAsia" w:ascii="宋体" w:hAnsi="宋体" w:eastAsia="宋体" w:cs="宋体"/>
                <w:color w:val="000000"/>
                <w:kern w:val="0"/>
                <w:sz w:val="20"/>
                <w:szCs w:val="20"/>
              </w:rPr>
              <w:t>.拥有行业实习实践经验，持有专业资格证书者优先。</w:t>
            </w:r>
          </w:p>
        </w:tc>
        <w:tc>
          <w:tcPr>
            <w:tcW w:w="504" w:type="pct"/>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kern w:val="0"/>
                <w:sz w:val="20"/>
                <w:szCs w:val="20"/>
              </w:rPr>
            </w:pPr>
            <w:r>
              <w:rPr>
                <w:rFonts w:hint="default" w:ascii="Times New Roman" w:hAnsi="Times New Roman" w:eastAsia="宋体" w:cs="Times New Roman"/>
                <w:color w:val="000000"/>
                <w:kern w:val="0"/>
                <w:sz w:val="20"/>
                <w:szCs w:val="20"/>
              </w:rPr>
              <w:t>报名网址：www.tzjob.com</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电子邮箱：tzgxdqzp@126.com</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咨询电话：13</w:t>
            </w:r>
            <w:r>
              <w:rPr>
                <w:rFonts w:hint="default" w:ascii="Times New Roman" w:hAnsi="Times New Roman" w:eastAsia="宋体" w:cs="Times New Roman"/>
                <w:color w:val="000000"/>
                <w:kern w:val="0"/>
                <w:sz w:val="20"/>
                <w:szCs w:val="20"/>
                <w:lang w:val="en-US" w:eastAsia="zh-CN"/>
              </w:rPr>
              <w:t>852675646</w:t>
            </w:r>
          </w:p>
        </w:tc>
        <w:tc>
          <w:tcPr>
            <w:tcW w:w="182" w:type="pct"/>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2</w:t>
            </w:r>
          </w:p>
        </w:tc>
        <w:tc>
          <w:tcPr>
            <w:tcW w:w="275" w:type="pct"/>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结构化面谈+无领导小组讨论</w:t>
            </w:r>
          </w:p>
        </w:tc>
        <w:tc>
          <w:tcPr>
            <w:tcW w:w="572" w:type="pct"/>
            <w:tcMar>
              <w:top w:w="28" w:type="dxa"/>
              <w:left w:w="57" w:type="dxa"/>
              <w:bottom w:w="28" w:type="dxa"/>
              <w:right w:w="57" w:type="dxa"/>
            </w:tcMar>
            <w:vAlign w:val="center"/>
          </w:tcPr>
          <w:p>
            <w:pPr>
              <w:widowControl/>
              <w:spacing w:line="240" w:lineRule="exact"/>
              <w:jc w:val="both"/>
              <w:rPr>
                <w:rFonts w:hint="eastAsia" w:ascii="Times New Roman" w:hAnsi="Times New Roman" w:eastAsia="宋体" w:cs="Times New Roman"/>
                <w:color w:val="000000"/>
                <w:kern w:val="0"/>
                <w:sz w:val="20"/>
                <w:szCs w:val="20"/>
                <w:lang w:eastAsia="zh-CN"/>
              </w:rPr>
            </w:pPr>
            <w:r>
              <w:rPr>
                <w:rFonts w:hint="eastAsia" w:ascii="Times New Roman" w:hAnsi="Times New Roman" w:eastAsia="宋体" w:cs="宋体"/>
                <w:color w:val="000000"/>
                <w:kern w:val="0"/>
                <w:sz w:val="20"/>
                <w:szCs w:val="20"/>
              </w:rPr>
              <w:t>1</w:t>
            </w:r>
            <w:r>
              <w:rPr>
                <w:rFonts w:hint="eastAsia" w:ascii="宋体" w:hAnsi="宋体" w:eastAsia="宋体" w:cs="宋体"/>
                <w:color w:val="000000"/>
                <w:kern w:val="0"/>
                <w:sz w:val="20"/>
                <w:szCs w:val="20"/>
              </w:rPr>
              <w:t>.工作前</w:t>
            </w:r>
            <w:r>
              <w:rPr>
                <w:rFonts w:ascii="Times New Roman" w:hAnsi="Times New Roman" w:eastAsia="宋体" w:cs="Times New Roman"/>
                <w:color w:val="000000"/>
                <w:kern w:val="0"/>
                <w:sz w:val="20"/>
                <w:szCs w:val="20"/>
              </w:rPr>
              <w:t>3</w:t>
            </w:r>
            <w:r>
              <w:rPr>
                <w:rFonts w:hint="eastAsia" w:ascii="宋体" w:hAnsi="宋体" w:eastAsia="宋体" w:cs="宋体"/>
                <w:color w:val="000000"/>
                <w:kern w:val="0"/>
                <w:sz w:val="20"/>
                <w:szCs w:val="20"/>
              </w:rPr>
              <w:t>年为培养锻炼期，培养锻炼期薪酬待遇一般高于</w:t>
            </w:r>
            <w:r>
              <w:rPr>
                <w:rFonts w:hint="eastAsia" w:ascii="宋体" w:hAnsi="宋体" w:eastAsia="宋体" w:cs="宋体"/>
                <w:color w:val="000000"/>
                <w:kern w:val="0"/>
                <w:sz w:val="20"/>
                <w:szCs w:val="20"/>
                <w:lang w:val="en-US" w:eastAsia="zh-CN"/>
              </w:rPr>
              <w:t>区本级</w:t>
            </w:r>
            <w:r>
              <w:rPr>
                <w:rFonts w:hint="eastAsia" w:ascii="宋体" w:hAnsi="宋体" w:eastAsia="宋体" w:cs="宋体"/>
                <w:color w:val="000000"/>
                <w:kern w:val="0"/>
                <w:sz w:val="20"/>
                <w:szCs w:val="20"/>
              </w:rPr>
              <w:t>同</w:t>
            </w:r>
            <w:r>
              <w:rPr>
                <w:rFonts w:hint="eastAsia" w:ascii="宋体" w:hAnsi="宋体" w:eastAsia="宋体" w:cs="宋体"/>
                <w:color w:val="000000"/>
                <w:kern w:val="0"/>
                <w:sz w:val="20"/>
                <w:szCs w:val="20"/>
                <w:lang w:val="en-US" w:eastAsia="zh-CN"/>
              </w:rPr>
              <w:t>类</w:t>
            </w:r>
            <w:r>
              <w:rPr>
                <w:rFonts w:hint="eastAsia" w:ascii="宋体" w:hAnsi="宋体" w:eastAsia="宋体" w:cs="宋体"/>
                <w:color w:val="000000"/>
                <w:kern w:val="0"/>
                <w:sz w:val="20"/>
                <w:szCs w:val="20"/>
              </w:rPr>
              <w:t>事业人员</w:t>
            </w:r>
            <w:r>
              <w:rPr>
                <w:rFonts w:ascii="Times New Roman" w:hAnsi="Times New Roman" w:eastAsia="宋体" w:cs="Times New Roman"/>
                <w:color w:val="000000"/>
                <w:kern w:val="0"/>
                <w:sz w:val="20"/>
                <w:szCs w:val="20"/>
              </w:rPr>
              <w:t>30%</w:t>
            </w:r>
            <w:r>
              <w:rPr>
                <w:rFonts w:hint="eastAsia" w:ascii="宋体" w:hAnsi="宋体" w:eastAsia="宋体" w:cs="宋体"/>
                <w:color w:val="000000"/>
                <w:kern w:val="0"/>
                <w:sz w:val="20"/>
                <w:szCs w:val="20"/>
              </w:rPr>
              <w:t>，培养锻炼期满后按照聘任岗位领取薪酬。</w:t>
            </w:r>
            <w:r>
              <w:rPr>
                <w:rFonts w:hint="eastAsia" w:ascii="宋体" w:hAnsi="宋体" w:eastAsia="宋体" w:cs="宋体"/>
                <w:color w:val="000000"/>
                <w:kern w:val="0"/>
                <w:sz w:val="20"/>
                <w:szCs w:val="20"/>
              </w:rPr>
              <w:br w:type="textWrapping"/>
            </w:r>
            <w:r>
              <w:rPr>
                <w:rFonts w:hint="eastAsia" w:ascii="Times New Roman" w:hAnsi="Times New Roman" w:eastAsia="宋体" w:cs="宋体"/>
                <w:color w:val="000000"/>
                <w:kern w:val="0"/>
                <w:sz w:val="20"/>
                <w:szCs w:val="20"/>
              </w:rPr>
              <w:t>2</w:t>
            </w:r>
            <w:r>
              <w:rPr>
                <w:rFonts w:hint="eastAsia" w:ascii="宋体" w:hAnsi="宋体" w:eastAsia="宋体" w:cs="宋体"/>
                <w:color w:val="000000"/>
                <w:kern w:val="0"/>
                <w:sz w:val="20"/>
                <w:szCs w:val="20"/>
              </w:rPr>
              <w:t>.可申请享受企业引进高层次人才相关</w:t>
            </w:r>
            <w:r>
              <w:rPr>
                <w:rFonts w:hint="eastAsia" w:ascii="宋体" w:hAnsi="宋体" w:eastAsia="宋体" w:cs="宋体"/>
                <w:color w:val="000000"/>
                <w:kern w:val="0"/>
                <w:sz w:val="20"/>
                <w:szCs w:val="20"/>
                <w:lang w:val="en-US" w:eastAsia="zh-CN"/>
              </w:rPr>
              <w:t>补贴</w:t>
            </w:r>
            <w:r>
              <w:rPr>
                <w:rFonts w:hint="eastAsia" w:ascii="宋体" w:hAnsi="宋体" w:eastAsia="宋体" w:cs="宋体"/>
                <w:color w:val="000000"/>
                <w:kern w:val="0"/>
                <w:sz w:val="20"/>
                <w:szCs w:val="20"/>
              </w:rPr>
              <w:t>待遇。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136" w:hRule="atLeast"/>
          <w:jc w:val="center"/>
        </w:trPr>
        <w:tc>
          <w:tcPr>
            <w:tcW w:w="275"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医药高新区（高港区）</w:t>
            </w:r>
          </w:p>
        </w:tc>
        <w:tc>
          <w:tcPr>
            <w:tcW w:w="212" w:type="pct"/>
            <w:shd w:val="clear" w:color="auto" w:fill="auto"/>
            <w:tcMar>
              <w:top w:w="28" w:type="dxa"/>
              <w:left w:w="57" w:type="dxa"/>
              <w:bottom w:w="28" w:type="dxa"/>
              <w:right w:w="57" w:type="dxa"/>
            </w:tcMar>
            <w:vAlign w:val="center"/>
          </w:tcPr>
          <w:p>
            <w:pPr>
              <w:widowControl/>
              <w:spacing w:line="240" w:lineRule="exact"/>
              <w:jc w:val="center"/>
              <w:rPr>
                <w:rFonts w:hint="eastAsia" w:ascii="Times New Roman" w:hAnsi="Times New Roman" w:eastAsia="宋体" w:cs="宋体"/>
                <w:color w:val="000000"/>
                <w:kern w:val="0"/>
                <w:sz w:val="20"/>
                <w:szCs w:val="20"/>
              </w:rPr>
            </w:pPr>
            <w:r>
              <w:rPr>
                <w:rFonts w:hint="eastAsia" w:ascii="Times New Roman" w:hAnsi="Times New Roman" w:eastAsia="宋体" w:cs="宋体"/>
                <w:color w:val="000000"/>
                <w:kern w:val="0"/>
                <w:sz w:val="20"/>
                <w:szCs w:val="20"/>
              </w:rPr>
              <w:t>6B</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江苏泰州港核心</w:t>
            </w:r>
          </w:p>
          <w:p>
            <w:pPr>
              <w:widowControl/>
              <w:spacing w:line="24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港区投资</w:t>
            </w:r>
          </w:p>
          <w:p>
            <w:pPr>
              <w:widowControl/>
              <w:spacing w:line="24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有限公司</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财务财会类</w:t>
            </w:r>
          </w:p>
        </w:tc>
        <w:tc>
          <w:tcPr>
            <w:tcW w:w="229" w:type="pct"/>
            <w:shd w:val="clear" w:color="auto" w:fill="auto"/>
            <w:tcMar>
              <w:top w:w="28" w:type="dxa"/>
              <w:left w:w="57" w:type="dxa"/>
              <w:bottom w:w="28" w:type="dxa"/>
              <w:right w:w="57" w:type="dxa"/>
            </w:tcMar>
            <w:vAlign w:val="center"/>
          </w:tcPr>
          <w:p>
            <w:pPr>
              <w:widowControl/>
              <w:spacing w:line="240" w:lineRule="exact"/>
              <w:jc w:val="center"/>
              <w:rPr>
                <w:rFonts w:hint="eastAsia" w:ascii="Times New Roman" w:hAnsi="Times New Roman" w:eastAsia="宋体" w:cs="宋体"/>
                <w:color w:val="000000"/>
                <w:kern w:val="0"/>
                <w:sz w:val="20"/>
                <w:szCs w:val="20"/>
              </w:rPr>
            </w:pPr>
            <w:r>
              <w:rPr>
                <w:rFonts w:hint="eastAsia" w:ascii="Times New Roman" w:hAnsi="Times New Roman" w:eastAsia="宋体" w:cs="宋体"/>
                <w:color w:val="000000"/>
                <w:kern w:val="0"/>
                <w:sz w:val="20"/>
                <w:szCs w:val="20"/>
              </w:rPr>
              <w:t>6B</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lang w:val="en-US" w:eastAsia="zh-CN"/>
              </w:rPr>
              <w:t>6</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财务专员</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hint="eastAsia" w:ascii="Times New Roman" w:hAnsi="Times New Roman" w:eastAsia="宋体" w:cs="宋体"/>
                <w:color w:val="000000"/>
                <w:kern w:val="0"/>
                <w:sz w:val="20"/>
                <w:szCs w:val="20"/>
              </w:rPr>
            </w:pPr>
            <w:r>
              <w:rPr>
                <w:rFonts w:hint="eastAsia" w:ascii="Times New Roman" w:hAnsi="Times New Roman" w:eastAsia="宋体" w:cs="宋体"/>
                <w:color w:val="000000"/>
                <w:kern w:val="0"/>
                <w:sz w:val="20"/>
                <w:szCs w:val="20"/>
              </w:rPr>
              <w:t>1</w:t>
            </w:r>
          </w:p>
        </w:tc>
        <w:tc>
          <w:tcPr>
            <w:tcW w:w="365"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本科及以上</w:t>
            </w:r>
          </w:p>
        </w:tc>
        <w:tc>
          <w:tcPr>
            <w:tcW w:w="687" w:type="pct"/>
            <w:shd w:val="clear" w:color="auto" w:fill="auto"/>
            <w:tcMar>
              <w:top w:w="28" w:type="dxa"/>
              <w:left w:w="57" w:type="dxa"/>
              <w:bottom w:w="28" w:type="dxa"/>
              <w:right w:w="57" w:type="dxa"/>
            </w:tcMar>
            <w:vAlign w:val="center"/>
          </w:tcPr>
          <w:p>
            <w:pPr>
              <w:widowControl/>
              <w:spacing w:line="240" w:lineRule="exact"/>
              <w:jc w:val="both"/>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会计学、财务管理、财务会计与审计、会计、金融工程</w:t>
            </w:r>
          </w:p>
        </w:tc>
        <w:tc>
          <w:tcPr>
            <w:tcW w:w="689" w:type="pct"/>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r>
              <w:rPr>
                <w:rFonts w:hint="eastAsia" w:ascii="Times New Roman" w:hAnsi="Times New Roman" w:eastAsia="宋体" w:cs="宋体"/>
                <w:kern w:val="0"/>
                <w:sz w:val="20"/>
                <w:szCs w:val="20"/>
              </w:rPr>
              <w:t>1</w:t>
            </w:r>
            <w:r>
              <w:rPr>
                <w:rFonts w:hint="eastAsia" w:ascii="宋体" w:hAnsi="宋体" w:eastAsia="宋体" w:cs="宋体"/>
                <w:kern w:val="0"/>
                <w:sz w:val="20"/>
                <w:szCs w:val="20"/>
              </w:rPr>
              <w:t>.毕业院校应具备以下条件之一：</w:t>
            </w:r>
            <w:r>
              <w:rPr>
                <w:rFonts w:hint="eastAsia" w:ascii="宋体" w:hAnsi="宋体" w:eastAsia="宋体" w:cs="宋体"/>
                <w:kern w:val="0"/>
                <w:sz w:val="20"/>
                <w:szCs w:val="20"/>
              </w:rPr>
              <w:br w:type="textWrapping"/>
            </w:r>
            <w:r>
              <w:rPr>
                <w:rFonts w:hint="eastAsia" w:ascii="宋体" w:hAnsi="宋体" w:eastAsia="宋体" w:cs="宋体"/>
                <w:kern w:val="0"/>
                <w:sz w:val="20"/>
                <w:szCs w:val="20"/>
              </w:rPr>
              <w:t>①第一轮“一流大学”建设高校全日制本科毕业生</w:t>
            </w:r>
            <w:r>
              <w:rPr>
                <w:rFonts w:hint="eastAsia" w:ascii="宋体" w:hAnsi="宋体" w:eastAsia="宋体" w:cs="宋体"/>
                <w:kern w:val="0"/>
                <w:sz w:val="20"/>
                <w:szCs w:val="20"/>
                <w:lang w:eastAsia="zh-CN"/>
              </w:rPr>
              <w:t>；</w:t>
            </w:r>
            <w:r>
              <w:rPr>
                <w:rFonts w:hint="eastAsia" w:ascii="宋体" w:hAnsi="宋体" w:eastAsia="宋体" w:cs="宋体"/>
                <w:kern w:val="0"/>
                <w:sz w:val="20"/>
                <w:szCs w:val="20"/>
              </w:rPr>
              <w:br w:type="textWrapping"/>
            </w:r>
            <w:r>
              <w:rPr>
                <w:rFonts w:hint="eastAsia" w:ascii="宋体" w:hAnsi="宋体" w:eastAsia="宋体" w:cs="宋体"/>
                <w:kern w:val="0"/>
                <w:sz w:val="20"/>
                <w:szCs w:val="20"/>
              </w:rPr>
              <w:t>②第一轮“一流大学”建设高校、第二轮“双一流”建设高校全日制硕士研究生及以上学历毕业生（本科须为第二轮“双一流”建设高校全日制毕业生）</w:t>
            </w:r>
            <w:r>
              <w:rPr>
                <w:rFonts w:hint="eastAsia" w:ascii="宋体" w:hAnsi="宋体" w:eastAsia="宋体" w:cs="宋体"/>
                <w:kern w:val="0"/>
                <w:sz w:val="20"/>
                <w:szCs w:val="20"/>
                <w:lang w:eastAsia="zh-CN"/>
              </w:rPr>
              <w:t>；</w:t>
            </w:r>
            <w:r>
              <w:rPr>
                <w:rFonts w:hint="eastAsia" w:ascii="宋体" w:hAnsi="宋体" w:eastAsia="宋体" w:cs="宋体"/>
                <w:kern w:val="0"/>
                <w:sz w:val="20"/>
                <w:szCs w:val="20"/>
              </w:rPr>
              <w:br w:type="textWrapping"/>
            </w:r>
            <w:r>
              <w:rPr>
                <w:rFonts w:hint="eastAsia" w:ascii="宋体" w:hAnsi="宋体" w:eastAsia="宋体" w:cs="宋体"/>
                <w:kern w:val="0"/>
                <w:sz w:val="20"/>
                <w:szCs w:val="20"/>
              </w:rPr>
              <w:t>③最新世界大学排名榜单（</w:t>
            </w:r>
            <w:r>
              <w:rPr>
                <w:rFonts w:hint="eastAsia" w:ascii="Times New Roman" w:hAnsi="Times New Roman" w:eastAsia="宋体" w:cs="宋体"/>
                <w:kern w:val="0"/>
                <w:sz w:val="20"/>
                <w:szCs w:val="20"/>
              </w:rPr>
              <w:t>QS</w:t>
            </w:r>
            <w:r>
              <w:rPr>
                <w:rFonts w:hint="eastAsia" w:ascii="宋体" w:hAnsi="宋体" w:eastAsia="宋体" w:cs="宋体"/>
                <w:kern w:val="0"/>
                <w:sz w:val="20"/>
                <w:szCs w:val="20"/>
              </w:rPr>
              <w:t>、</w:t>
            </w:r>
            <w:r>
              <w:rPr>
                <w:rFonts w:hint="eastAsia" w:ascii="Times New Roman" w:hAnsi="Times New Roman" w:eastAsia="宋体" w:cs="宋体"/>
                <w:kern w:val="0"/>
                <w:sz w:val="20"/>
                <w:szCs w:val="20"/>
              </w:rPr>
              <w:t>THE</w:t>
            </w:r>
            <w:r>
              <w:rPr>
                <w:rFonts w:hint="eastAsia" w:ascii="宋体" w:hAnsi="宋体" w:eastAsia="宋体" w:cs="宋体"/>
                <w:kern w:val="0"/>
                <w:sz w:val="20"/>
                <w:szCs w:val="20"/>
              </w:rPr>
              <w:t>、</w:t>
            </w:r>
            <w:r>
              <w:rPr>
                <w:rFonts w:hint="eastAsia" w:ascii="Times New Roman" w:hAnsi="Times New Roman" w:eastAsia="宋体" w:cs="宋体"/>
                <w:kern w:val="0"/>
                <w:sz w:val="20"/>
                <w:szCs w:val="20"/>
              </w:rPr>
              <w:t>U</w:t>
            </w:r>
            <w:r>
              <w:rPr>
                <w:rFonts w:hint="eastAsia" w:ascii="宋体" w:hAnsi="宋体" w:eastAsia="宋体" w:cs="宋体"/>
                <w:kern w:val="0"/>
                <w:sz w:val="20"/>
                <w:szCs w:val="20"/>
              </w:rPr>
              <w:t>.</w:t>
            </w:r>
            <w:r>
              <w:rPr>
                <w:rFonts w:hint="eastAsia" w:ascii="Times New Roman" w:hAnsi="Times New Roman" w:eastAsia="宋体" w:cs="宋体"/>
                <w:kern w:val="0"/>
                <w:sz w:val="20"/>
                <w:szCs w:val="20"/>
              </w:rPr>
              <w:t>S</w:t>
            </w:r>
            <w:r>
              <w:rPr>
                <w:rFonts w:hint="eastAsia" w:ascii="宋体" w:hAnsi="宋体" w:eastAsia="宋体" w:cs="宋体"/>
                <w:kern w:val="0"/>
                <w:sz w:val="20"/>
                <w:szCs w:val="20"/>
              </w:rPr>
              <w:t>.</w:t>
            </w:r>
            <w:r>
              <w:rPr>
                <w:rFonts w:hint="eastAsia" w:ascii="Times New Roman" w:hAnsi="Times New Roman" w:eastAsia="宋体" w:cs="宋体"/>
                <w:kern w:val="0"/>
                <w:sz w:val="20"/>
                <w:szCs w:val="20"/>
              </w:rPr>
              <w:t>NEWS</w:t>
            </w:r>
            <w:r>
              <w:rPr>
                <w:rFonts w:hint="eastAsia" w:ascii="宋体" w:hAnsi="宋体" w:eastAsia="宋体" w:cs="宋体"/>
                <w:kern w:val="0"/>
                <w:sz w:val="20"/>
                <w:szCs w:val="20"/>
              </w:rPr>
              <w:t>、</w:t>
            </w:r>
            <w:r>
              <w:rPr>
                <w:rFonts w:hint="eastAsia" w:ascii="Times New Roman" w:hAnsi="Times New Roman" w:eastAsia="宋体" w:cs="宋体"/>
                <w:kern w:val="0"/>
                <w:sz w:val="20"/>
                <w:szCs w:val="20"/>
              </w:rPr>
              <w:t>ARWU</w:t>
            </w:r>
            <w:r>
              <w:rPr>
                <w:rFonts w:hint="eastAsia" w:ascii="宋体" w:hAnsi="宋体" w:eastAsia="宋体" w:cs="宋体"/>
                <w:kern w:val="0"/>
                <w:sz w:val="20"/>
                <w:szCs w:val="20"/>
              </w:rPr>
              <w:t>、</w:t>
            </w:r>
            <w:r>
              <w:rPr>
                <w:rFonts w:hint="eastAsia" w:ascii="Times New Roman" w:hAnsi="Times New Roman" w:eastAsia="宋体" w:cs="宋体"/>
                <w:kern w:val="0"/>
                <w:sz w:val="20"/>
                <w:szCs w:val="20"/>
              </w:rPr>
              <w:t>CWUR</w:t>
            </w:r>
            <w:r>
              <w:rPr>
                <w:rFonts w:hint="eastAsia" w:ascii="宋体" w:hAnsi="宋体" w:eastAsia="宋体" w:cs="宋体"/>
                <w:kern w:val="0"/>
                <w:sz w:val="20"/>
                <w:szCs w:val="20"/>
              </w:rPr>
              <w:t>）前</w:t>
            </w:r>
            <w:r>
              <w:rPr>
                <w:rFonts w:hint="eastAsia" w:ascii="Times New Roman" w:hAnsi="Times New Roman" w:eastAsia="宋体" w:cs="宋体"/>
                <w:kern w:val="0"/>
                <w:sz w:val="20"/>
                <w:szCs w:val="20"/>
              </w:rPr>
              <w:t>100</w:t>
            </w:r>
            <w:r>
              <w:rPr>
                <w:rFonts w:hint="eastAsia" w:ascii="宋体" w:hAnsi="宋体" w:eastAsia="宋体" w:cs="宋体"/>
                <w:kern w:val="0"/>
                <w:sz w:val="20"/>
                <w:szCs w:val="20"/>
              </w:rPr>
              <w:t>名国（境）外高校的全日制硕士研究生及以上学历毕业生（本科须为第二轮“双一流”建设高校全日制毕业生）。</w:t>
            </w:r>
            <w:r>
              <w:rPr>
                <w:rFonts w:hint="eastAsia" w:ascii="宋体" w:hAnsi="宋体" w:eastAsia="宋体" w:cs="宋体"/>
                <w:kern w:val="0"/>
                <w:sz w:val="20"/>
                <w:szCs w:val="20"/>
              </w:rPr>
              <w:br w:type="textWrapping"/>
            </w:r>
            <w:r>
              <w:rPr>
                <w:rFonts w:hint="eastAsia" w:ascii="Times New Roman" w:hAnsi="Times New Roman" w:eastAsia="宋体" w:cs="宋体"/>
                <w:kern w:val="0"/>
                <w:sz w:val="20"/>
                <w:szCs w:val="20"/>
              </w:rPr>
              <w:t>2</w:t>
            </w:r>
            <w:r>
              <w:rPr>
                <w:rFonts w:hint="eastAsia" w:ascii="宋体" w:hAnsi="宋体" w:eastAsia="宋体" w:cs="宋体"/>
                <w:kern w:val="0"/>
                <w:sz w:val="20"/>
                <w:szCs w:val="20"/>
              </w:rPr>
              <w:t>.具有会计初级职称。</w:t>
            </w:r>
          </w:p>
        </w:tc>
        <w:tc>
          <w:tcPr>
            <w:tcW w:w="504" w:type="pct"/>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报名网址：www.tzjob.com</w:t>
            </w:r>
            <w:r>
              <w:rPr>
                <w:rFonts w:hint="default" w:ascii="Times New Roman" w:hAnsi="Times New Roman" w:eastAsia="宋体" w:cs="Times New Roman"/>
                <w:kern w:val="0"/>
                <w:sz w:val="20"/>
                <w:szCs w:val="20"/>
              </w:rPr>
              <w:br w:type="page"/>
            </w:r>
            <w:r>
              <w:rPr>
                <w:rFonts w:hint="default" w:ascii="Times New Roman" w:hAnsi="Times New Roman" w:eastAsia="宋体" w:cs="Times New Roman"/>
                <w:kern w:val="0"/>
                <w:sz w:val="20"/>
                <w:szCs w:val="20"/>
              </w:rPr>
              <w:t>电子邮箱：</w:t>
            </w:r>
            <w:r>
              <w:rPr>
                <w:rFonts w:hint="default" w:ascii="Times New Roman" w:hAnsi="Times New Roman" w:eastAsia="宋体" w:cs="Times New Roman"/>
                <w:color w:val="auto"/>
                <w:kern w:val="0"/>
                <w:sz w:val="20"/>
                <w:szCs w:val="20"/>
                <w:u w:val="none"/>
              </w:rPr>
              <w:fldChar w:fldCharType="begin"/>
            </w:r>
            <w:r>
              <w:rPr>
                <w:rFonts w:hint="default" w:ascii="Times New Roman" w:hAnsi="Times New Roman" w:eastAsia="宋体" w:cs="Times New Roman"/>
                <w:color w:val="auto"/>
                <w:kern w:val="0"/>
                <w:sz w:val="20"/>
                <w:szCs w:val="20"/>
                <w:u w:val="none"/>
              </w:rPr>
              <w:instrText xml:space="preserve"> HYPERLINK "mailto:tzgxdqzp@126.com" </w:instrText>
            </w:r>
            <w:r>
              <w:rPr>
                <w:rFonts w:hint="default" w:ascii="Times New Roman" w:hAnsi="Times New Roman" w:eastAsia="宋体" w:cs="Times New Roman"/>
                <w:color w:val="auto"/>
                <w:kern w:val="0"/>
                <w:sz w:val="20"/>
                <w:szCs w:val="20"/>
                <w:u w:val="none"/>
              </w:rPr>
              <w:fldChar w:fldCharType="separate"/>
            </w:r>
            <w:r>
              <w:rPr>
                <w:rStyle w:val="6"/>
                <w:rFonts w:hint="default" w:ascii="Times New Roman" w:hAnsi="Times New Roman" w:eastAsia="宋体" w:cs="Times New Roman"/>
                <w:color w:val="auto"/>
                <w:kern w:val="0"/>
                <w:sz w:val="20"/>
                <w:szCs w:val="20"/>
                <w:u w:val="none"/>
              </w:rPr>
              <w:t>tzgxdqzp@126.com</w:t>
            </w:r>
            <w:r>
              <w:rPr>
                <w:rFonts w:hint="default" w:ascii="Times New Roman" w:hAnsi="Times New Roman" w:eastAsia="宋体" w:cs="Times New Roman"/>
                <w:color w:val="auto"/>
                <w:kern w:val="0"/>
                <w:sz w:val="20"/>
                <w:szCs w:val="20"/>
                <w:u w:val="none"/>
              </w:rPr>
              <w:fldChar w:fldCharType="end"/>
            </w:r>
          </w:p>
          <w:p>
            <w:pPr>
              <w:widowControl/>
              <w:spacing w:line="240" w:lineRule="exact"/>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br w:type="page"/>
            </w:r>
            <w:r>
              <w:rPr>
                <w:rFonts w:hint="default" w:ascii="Times New Roman" w:hAnsi="Times New Roman" w:eastAsia="宋体" w:cs="Times New Roman"/>
                <w:kern w:val="0"/>
                <w:sz w:val="20"/>
                <w:szCs w:val="20"/>
              </w:rPr>
              <w:t>咨询电话：1</w:t>
            </w:r>
            <w:r>
              <w:rPr>
                <w:rFonts w:hint="default" w:ascii="Times New Roman" w:hAnsi="Times New Roman" w:eastAsia="宋体" w:cs="Times New Roman"/>
                <w:kern w:val="0"/>
                <w:sz w:val="20"/>
                <w:szCs w:val="20"/>
                <w:lang w:val="en-US" w:eastAsia="zh-CN"/>
              </w:rPr>
              <w:t>5951163465</w:t>
            </w:r>
          </w:p>
        </w:tc>
        <w:tc>
          <w:tcPr>
            <w:tcW w:w="182" w:type="pct"/>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2</w:t>
            </w:r>
          </w:p>
        </w:tc>
        <w:tc>
          <w:tcPr>
            <w:tcW w:w="275" w:type="pct"/>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结构化面谈+无领导小组讨论</w:t>
            </w:r>
          </w:p>
        </w:tc>
        <w:tc>
          <w:tcPr>
            <w:tcW w:w="572" w:type="pct"/>
            <w:tcMar>
              <w:top w:w="28" w:type="dxa"/>
              <w:left w:w="57" w:type="dxa"/>
              <w:bottom w:w="28" w:type="dxa"/>
              <w:right w:w="57" w:type="dxa"/>
            </w:tcMar>
            <w:vAlign w:val="center"/>
          </w:tcPr>
          <w:p>
            <w:pPr>
              <w:widowControl/>
              <w:spacing w:line="240" w:lineRule="exact"/>
              <w:jc w:val="both"/>
              <w:rPr>
                <w:rFonts w:hint="eastAsia" w:ascii="Times New Roman" w:hAnsi="Times New Roman" w:eastAsia="宋体" w:cs="Times New Roman"/>
                <w:color w:val="000000"/>
                <w:kern w:val="0"/>
                <w:sz w:val="20"/>
                <w:szCs w:val="20"/>
                <w:lang w:eastAsia="zh-CN"/>
              </w:rPr>
            </w:pPr>
            <w:r>
              <w:rPr>
                <w:rFonts w:hint="eastAsia" w:ascii="Times New Roman" w:hAnsi="Times New Roman" w:eastAsia="宋体" w:cs="宋体"/>
                <w:color w:val="000000"/>
                <w:kern w:val="0"/>
                <w:sz w:val="20"/>
                <w:szCs w:val="20"/>
              </w:rPr>
              <w:t>1</w:t>
            </w:r>
            <w:r>
              <w:rPr>
                <w:rFonts w:hint="eastAsia" w:ascii="宋体" w:hAnsi="宋体" w:eastAsia="宋体" w:cs="宋体"/>
                <w:color w:val="000000"/>
                <w:kern w:val="0"/>
                <w:sz w:val="20"/>
                <w:szCs w:val="20"/>
              </w:rPr>
              <w:t>.工作前</w:t>
            </w:r>
            <w:r>
              <w:rPr>
                <w:rFonts w:ascii="Times New Roman" w:hAnsi="Times New Roman" w:eastAsia="宋体" w:cs="Times New Roman"/>
                <w:color w:val="000000"/>
                <w:kern w:val="0"/>
                <w:sz w:val="20"/>
                <w:szCs w:val="20"/>
              </w:rPr>
              <w:t>3</w:t>
            </w:r>
            <w:r>
              <w:rPr>
                <w:rFonts w:hint="eastAsia" w:ascii="宋体" w:hAnsi="宋体" w:eastAsia="宋体" w:cs="宋体"/>
                <w:color w:val="000000"/>
                <w:kern w:val="0"/>
                <w:sz w:val="20"/>
                <w:szCs w:val="20"/>
              </w:rPr>
              <w:t>年为培养锻炼期，培养锻炼期薪酬待遇一般高于</w:t>
            </w:r>
            <w:r>
              <w:rPr>
                <w:rFonts w:hint="eastAsia" w:ascii="宋体" w:hAnsi="宋体" w:eastAsia="宋体" w:cs="宋体"/>
                <w:color w:val="000000"/>
                <w:kern w:val="0"/>
                <w:sz w:val="20"/>
                <w:szCs w:val="20"/>
                <w:lang w:val="en-US" w:eastAsia="zh-CN"/>
              </w:rPr>
              <w:t>区本级</w:t>
            </w:r>
            <w:r>
              <w:rPr>
                <w:rFonts w:hint="eastAsia" w:ascii="宋体" w:hAnsi="宋体" w:eastAsia="宋体" w:cs="宋体"/>
                <w:color w:val="000000"/>
                <w:kern w:val="0"/>
                <w:sz w:val="20"/>
                <w:szCs w:val="20"/>
              </w:rPr>
              <w:t>同</w:t>
            </w:r>
            <w:r>
              <w:rPr>
                <w:rFonts w:hint="eastAsia" w:ascii="宋体" w:hAnsi="宋体" w:eastAsia="宋体" w:cs="宋体"/>
                <w:color w:val="000000"/>
                <w:kern w:val="0"/>
                <w:sz w:val="20"/>
                <w:szCs w:val="20"/>
                <w:lang w:val="en-US" w:eastAsia="zh-CN"/>
              </w:rPr>
              <w:t>类</w:t>
            </w:r>
            <w:r>
              <w:rPr>
                <w:rFonts w:hint="eastAsia" w:ascii="宋体" w:hAnsi="宋体" w:eastAsia="宋体" w:cs="宋体"/>
                <w:color w:val="000000"/>
                <w:kern w:val="0"/>
                <w:sz w:val="20"/>
                <w:szCs w:val="20"/>
              </w:rPr>
              <w:t>事业人员</w:t>
            </w:r>
            <w:r>
              <w:rPr>
                <w:rFonts w:ascii="Times New Roman" w:hAnsi="Times New Roman" w:eastAsia="宋体" w:cs="Times New Roman"/>
                <w:color w:val="000000"/>
                <w:kern w:val="0"/>
                <w:sz w:val="20"/>
                <w:szCs w:val="20"/>
              </w:rPr>
              <w:t>30%</w:t>
            </w:r>
            <w:r>
              <w:rPr>
                <w:rFonts w:hint="eastAsia" w:ascii="宋体" w:hAnsi="宋体" w:eastAsia="宋体" w:cs="宋体"/>
                <w:color w:val="000000"/>
                <w:kern w:val="0"/>
                <w:sz w:val="20"/>
                <w:szCs w:val="20"/>
              </w:rPr>
              <w:t>，培养锻炼期满后按照聘任岗位领取薪酬。</w:t>
            </w:r>
            <w:r>
              <w:rPr>
                <w:rFonts w:hint="eastAsia" w:ascii="宋体" w:hAnsi="宋体" w:eastAsia="宋体" w:cs="宋体"/>
                <w:color w:val="000000"/>
                <w:kern w:val="0"/>
                <w:sz w:val="20"/>
                <w:szCs w:val="20"/>
              </w:rPr>
              <w:br w:type="textWrapping"/>
            </w:r>
            <w:r>
              <w:rPr>
                <w:rFonts w:hint="eastAsia" w:ascii="Times New Roman" w:hAnsi="Times New Roman" w:eastAsia="宋体" w:cs="宋体"/>
                <w:color w:val="000000"/>
                <w:kern w:val="0"/>
                <w:sz w:val="20"/>
                <w:szCs w:val="20"/>
              </w:rPr>
              <w:t>2</w:t>
            </w:r>
            <w:r>
              <w:rPr>
                <w:rFonts w:hint="eastAsia" w:ascii="宋体" w:hAnsi="宋体" w:eastAsia="宋体" w:cs="宋体"/>
                <w:color w:val="000000"/>
                <w:kern w:val="0"/>
                <w:sz w:val="20"/>
                <w:szCs w:val="20"/>
              </w:rPr>
              <w:t>.可申请享受企业引进高层次人才相关</w:t>
            </w:r>
            <w:r>
              <w:rPr>
                <w:rFonts w:hint="eastAsia" w:ascii="宋体" w:hAnsi="宋体" w:eastAsia="宋体" w:cs="宋体"/>
                <w:color w:val="000000"/>
                <w:kern w:val="0"/>
                <w:sz w:val="20"/>
                <w:szCs w:val="20"/>
                <w:lang w:val="en-US" w:eastAsia="zh-CN"/>
              </w:rPr>
              <w:t>补贴</w:t>
            </w:r>
            <w:r>
              <w:rPr>
                <w:rFonts w:hint="eastAsia" w:ascii="宋体" w:hAnsi="宋体" w:eastAsia="宋体" w:cs="宋体"/>
                <w:color w:val="000000"/>
                <w:kern w:val="0"/>
                <w:sz w:val="20"/>
                <w:szCs w:val="20"/>
              </w:rPr>
              <w:t>待遇。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196" w:hRule="atLeast"/>
          <w:jc w:val="center"/>
        </w:trPr>
        <w:tc>
          <w:tcPr>
            <w:tcW w:w="275"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医药高新区（高港区）</w:t>
            </w:r>
          </w:p>
        </w:tc>
        <w:tc>
          <w:tcPr>
            <w:tcW w:w="212" w:type="pct"/>
            <w:shd w:val="clear" w:color="auto" w:fill="auto"/>
            <w:tcMar>
              <w:top w:w="28" w:type="dxa"/>
              <w:left w:w="57" w:type="dxa"/>
              <w:bottom w:w="28" w:type="dxa"/>
              <w:right w:w="57" w:type="dxa"/>
            </w:tcMar>
            <w:vAlign w:val="center"/>
          </w:tcPr>
          <w:p>
            <w:pPr>
              <w:widowControl/>
              <w:spacing w:line="240" w:lineRule="exact"/>
              <w:jc w:val="center"/>
              <w:rPr>
                <w:rFonts w:hint="eastAsia" w:ascii="Times New Roman" w:hAnsi="Times New Roman" w:eastAsia="宋体" w:cs="宋体"/>
                <w:color w:val="000000"/>
                <w:kern w:val="0"/>
                <w:sz w:val="20"/>
                <w:szCs w:val="20"/>
              </w:rPr>
            </w:pPr>
            <w:r>
              <w:rPr>
                <w:rFonts w:hint="eastAsia" w:ascii="Times New Roman" w:hAnsi="Times New Roman" w:eastAsia="宋体" w:cs="宋体"/>
                <w:color w:val="000000"/>
                <w:kern w:val="0"/>
                <w:sz w:val="20"/>
                <w:szCs w:val="20"/>
              </w:rPr>
              <w:t>6B</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泰州引江城市开发建设有限公司</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财务财会类</w:t>
            </w:r>
          </w:p>
        </w:tc>
        <w:tc>
          <w:tcPr>
            <w:tcW w:w="229" w:type="pct"/>
            <w:shd w:val="clear" w:color="auto" w:fill="auto"/>
            <w:tcMar>
              <w:top w:w="28" w:type="dxa"/>
              <w:left w:w="57" w:type="dxa"/>
              <w:bottom w:w="28" w:type="dxa"/>
              <w:right w:w="57" w:type="dxa"/>
            </w:tcMar>
            <w:vAlign w:val="center"/>
          </w:tcPr>
          <w:p>
            <w:pPr>
              <w:widowControl/>
              <w:spacing w:line="240" w:lineRule="exact"/>
              <w:jc w:val="center"/>
              <w:rPr>
                <w:rFonts w:hint="eastAsia" w:ascii="Times New Roman" w:hAnsi="Times New Roman" w:eastAsia="宋体" w:cs="宋体"/>
                <w:color w:val="000000"/>
                <w:kern w:val="0"/>
                <w:sz w:val="20"/>
                <w:szCs w:val="20"/>
              </w:rPr>
            </w:pPr>
            <w:r>
              <w:rPr>
                <w:rFonts w:hint="eastAsia" w:ascii="Times New Roman" w:hAnsi="Times New Roman" w:eastAsia="宋体" w:cs="宋体"/>
                <w:color w:val="000000"/>
                <w:kern w:val="0"/>
                <w:sz w:val="20"/>
                <w:szCs w:val="20"/>
              </w:rPr>
              <w:t>6B</w:t>
            </w:r>
            <w:r>
              <w:rPr>
                <w:rFonts w:hint="eastAsia" w:ascii="宋体" w:hAnsi="宋体" w:eastAsia="宋体" w:cs="宋体"/>
                <w:color w:val="000000"/>
                <w:kern w:val="0"/>
                <w:sz w:val="20"/>
                <w:szCs w:val="20"/>
              </w:rPr>
              <w:t>-</w:t>
            </w:r>
            <w:r>
              <w:rPr>
                <w:rFonts w:hint="eastAsia" w:ascii="Times New Roman" w:hAnsi="Times New Roman" w:eastAsia="宋体" w:cs="宋体"/>
                <w:color w:val="000000"/>
                <w:kern w:val="0"/>
                <w:sz w:val="20"/>
                <w:szCs w:val="20"/>
              </w:rPr>
              <w:t>7</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财务专员</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hint="eastAsia" w:ascii="Times New Roman" w:hAnsi="Times New Roman" w:eastAsia="宋体" w:cs="宋体"/>
                <w:color w:val="000000"/>
                <w:kern w:val="0"/>
                <w:sz w:val="20"/>
                <w:szCs w:val="20"/>
              </w:rPr>
            </w:pPr>
            <w:r>
              <w:rPr>
                <w:rFonts w:hint="eastAsia" w:ascii="Times New Roman" w:hAnsi="Times New Roman" w:eastAsia="宋体" w:cs="宋体"/>
                <w:color w:val="000000"/>
                <w:kern w:val="0"/>
                <w:sz w:val="20"/>
                <w:szCs w:val="20"/>
              </w:rPr>
              <w:t>1</w:t>
            </w:r>
          </w:p>
        </w:tc>
        <w:tc>
          <w:tcPr>
            <w:tcW w:w="365"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本科及以上</w:t>
            </w:r>
          </w:p>
        </w:tc>
        <w:tc>
          <w:tcPr>
            <w:tcW w:w="687" w:type="pct"/>
            <w:shd w:val="clear" w:color="auto" w:fill="auto"/>
            <w:tcMar>
              <w:top w:w="28" w:type="dxa"/>
              <w:left w:w="57" w:type="dxa"/>
              <w:bottom w:w="28" w:type="dxa"/>
              <w:right w:w="57" w:type="dxa"/>
            </w:tcMar>
            <w:vAlign w:val="center"/>
          </w:tcPr>
          <w:p>
            <w:pPr>
              <w:widowControl/>
              <w:spacing w:line="240" w:lineRule="exact"/>
              <w:jc w:val="both"/>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会计学</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rPr>
              <w:t>财政学（含税收学）</w:t>
            </w:r>
          </w:p>
        </w:tc>
        <w:tc>
          <w:tcPr>
            <w:tcW w:w="689" w:type="pct"/>
            <w:tcMar>
              <w:top w:w="28" w:type="dxa"/>
              <w:left w:w="57" w:type="dxa"/>
              <w:bottom w:w="28" w:type="dxa"/>
              <w:right w:w="57" w:type="dxa"/>
            </w:tcMar>
            <w:vAlign w:val="center"/>
          </w:tcPr>
          <w:p>
            <w:pPr>
              <w:widowControl/>
              <w:numPr>
                <w:ilvl w:val="0"/>
                <w:numId w:val="2"/>
              </w:numPr>
              <w:spacing w:line="240" w:lineRule="exact"/>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毕业院校应具备以下条件之一：</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①第一轮“一流大学”建设高校全日制本科毕业生</w:t>
            </w:r>
            <w:r>
              <w:rPr>
                <w:rFonts w:hint="eastAsia" w:ascii="宋体" w:hAnsi="宋体" w:eastAsia="宋体" w:cs="宋体"/>
                <w:color w:val="000000"/>
                <w:kern w:val="0"/>
                <w:sz w:val="20"/>
                <w:szCs w:val="20"/>
                <w:lang w:eastAsia="zh-CN"/>
              </w:rPr>
              <w:t>；</w:t>
            </w:r>
          </w:p>
          <w:p>
            <w:pPr>
              <w:widowControl/>
              <w:numPr>
                <w:ilvl w:val="0"/>
                <w:numId w:val="0"/>
              </w:numPr>
              <w:spacing w:line="240" w:lineRule="exact"/>
              <w:jc w:val="left"/>
              <w:rPr>
                <w:rFonts w:ascii="宋体" w:hAnsi="宋体" w:eastAsia="宋体" w:cs="宋体"/>
                <w:kern w:val="0"/>
                <w:sz w:val="20"/>
                <w:szCs w:val="20"/>
              </w:rPr>
            </w:pPr>
            <w:r>
              <w:rPr>
                <w:rFonts w:hint="eastAsia" w:ascii="宋体" w:hAnsi="宋体" w:eastAsia="宋体" w:cs="宋体"/>
                <w:color w:val="000000"/>
                <w:kern w:val="0"/>
                <w:sz w:val="20"/>
                <w:szCs w:val="20"/>
              </w:rPr>
              <w:t>②第一轮“一流大学”建设高校、第二轮“双一流”建设高校全日制硕士研究生及以上学历毕业生（本科须为第二轮“双一流”建设高校全日制毕业生）</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③最新世界大学排名榜单（</w:t>
            </w:r>
            <w:r>
              <w:rPr>
                <w:rFonts w:hint="eastAsia" w:ascii="Times New Roman" w:hAnsi="Times New Roman" w:eastAsia="宋体" w:cs="宋体"/>
                <w:color w:val="000000"/>
                <w:kern w:val="0"/>
                <w:sz w:val="20"/>
                <w:szCs w:val="20"/>
              </w:rPr>
              <w:t>QS</w:t>
            </w:r>
            <w:r>
              <w:rPr>
                <w:rFonts w:hint="eastAsia" w:ascii="宋体" w:hAnsi="宋体" w:eastAsia="宋体" w:cs="宋体"/>
                <w:color w:val="000000"/>
                <w:kern w:val="0"/>
                <w:sz w:val="20"/>
                <w:szCs w:val="20"/>
              </w:rPr>
              <w:t>、</w:t>
            </w:r>
            <w:r>
              <w:rPr>
                <w:rFonts w:hint="eastAsia" w:ascii="Times New Roman" w:hAnsi="Times New Roman" w:eastAsia="宋体" w:cs="宋体"/>
                <w:color w:val="000000"/>
                <w:kern w:val="0"/>
                <w:sz w:val="20"/>
                <w:szCs w:val="20"/>
              </w:rPr>
              <w:t>THE</w:t>
            </w:r>
            <w:r>
              <w:rPr>
                <w:rFonts w:hint="eastAsia" w:ascii="宋体" w:hAnsi="宋体" w:eastAsia="宋体" w:cs="宋体"/>
                <w:color w:val="000000"/>
                <w:kern w:val="0"/>
                <w:sz w:val="20"/>
                <w:szCs w:val="20"/>
              </w:rPr>
              <w:t>、</w:t>
            </w:r>
            <w:r>
              <w:rPr>
                <w:rFonts w:hint="eastAsia" w:ascii="Times New Roman" w:hAnsi="Times New Roman" w:eastAsia="宋体" w:cs="宋体"/>
                <w:color w:val="000000"/>
                <w:kern w:val="0"/>
                <w:sz w:val="20"/>
                <w:szCs w:val="20"/>
              </w:rPr>
              <w:t>U</w:t>
            </w:r>
            <w:r>
              <w:rPr>
                <w:rFonts w:hint="eastAsia" w:ascii="宋体" w:hAnsi="宋体" w:eastAsia="宋体" w:cs="宋体"/>
                <w:color w:val="000000"/>
                <w:kern w:val="0"/>
                <w:sz w:val="20"/>
                <w:szCs w:val="20"/>
              </w:rPr>
              <w:t>.</w:t>
            </w:r>
            <w:r>
              <w:rPr>
                <w:rFonts w:hint="eastAsia" w:ascii="Times New Roman" w:hAnsi="Times New Roman" w:eastAsia="宋体" w:cs="宋体"/>
                <w:color w:val="000000"/>
                <w:kern w:val="0"/>
                <w:sz w:val="20"/>
                <w:szCs w:val="20"/>
              </w:rPr>
              <w:t>S</w:t>
            </w:r>
            <w:r>
              <w:rPr>
                <w:rFonts w:hint="eastAsia" w:ascii="宋体" w:hAnsi="宋体" w:eastAsia="宋体" w:cs="宋体"/>
                <w:color w:val="000000"/>
                <w:kern w:val="0"/>
                <w:sz w:val="20"/>
                <w:szCs w:val="20"/>
              </w:rPr>
              <w:t>.</w:t>
            </w:r>
            <w:r>
              <w:rPr>
                <w:rFonts w:hint="eastAsia" w:ascii="Times New Roman" w:hAnsi="Times New Roman" w:eastAsia="宋体" w:cs="宋体"/>
                <w:color w:val="000000"/>
                <w:kern w:val="0"/>
                <w:sz w:val="20"/>
                <w:szCs w:val="20"/>
              </w:rPr>
              <w:t>NEWS</w:t>
            </w:r>
            <w:r>
              <w:rPr>
                <w:rFonts w:hint="eastAsia" w:ascii="宋体" w:hAnsi="宋体" w:eastAsia="宋体" w:cs="宋体"/>
                <w:color w:val="000000"/>
                <w:kern w:val="0"/>
                <w:sz w:val="20"/>
                <w:szCs w:val="20"/>
              </w:rPr>
              <w:t>、</w:t>
            </w:r>
            <w:r>
              <w:rPr>
                <w:rFonts w:hint="eastAsia" w:ascii="Times New Roman" w:hAnsi="Times New Roman" w:eastAsia="宋体" w:cs="宋体"/>
                <w:color w:val="000000"/>
                <w:kern w:val="0"/>
                <w:sz w:val="20"/>
                <w:szCs w:val="20"/>
              </w:rPr>
              <w:t>ARWU</w:t>
            </w:r>
            <w:r>
              <w:rPr>
                <w:rFonts w:hint="eastAsia" w:ascii="宋体" w:hAnsi="宋体" w:eastAsia="宋体" w:cs="宋体"/>
                <w:color w:val="000000"/>
                <w:kern w:val="0"/>
                <w:sz w:val="20"/>
                <w:szCs w:val="20"/>
              </w:rPr>
              <w:t>、</w:t>
            </w:r>
            <w:r>
              <w:rPr>
                <w:rFonts w:hint="eastAsia" w:ascii="Times New Roman" w:hAnsi="Times New Roman" w:eastAsia="宋体" w:cs="宋体"/>
                <w:color w:val="000000"/>
                <w:kern w:val="0"/>
                <w:sz w:val="20"/>
                <w:szCs w:val="20"/>
              </w:rPr>
              <w:t>CWUR</w:t>
            </w:r>
            <w:r>
              <w:rPr>
                <w:rFonts w:hint="eastAsia" w:ascii="宋体" w:hAnsi="宋体" w:eastAsia="宋体" w:cs="宋体"/>
                <w:color w:val="000000"/>
                <w:kern w:val="0"/>
                <w:sz w:val="20"/>
                <w:szCs w:val="20"/>
              </w:rPr>
              <w:t>）前</w:t>
            </w:r>
            <w:r>
              <w:rPr>
                <w:rFonts w:hint="eastAsia" w:ascii="Times New Roman" w:hAnsi="Times New Roman" w:eastAsia="宋体" w:cs="宋体"/>
                <w:color w:val="000000"/>
                <w:kern w:val="0"/>
                <w:sz w:val="20"/>
                <w:szCs w:val="20"/>
              </w:rPr>
              <w:t>100</w:t>
            </w:r>
            <w:r>
              <w:rPr>
                <w:rFonts w:hint="eastAsia" w:ascii="宋体" w:hAnsi="宋体" w:eastAsia="宋体" w:cs="宋体"/>
                <w:color w:val="000000"/>
                <w:kern w:val="0"/>
                <w:sz w:val="20"/>
                <w:szCs w:val="20"/>
              </w:rPr>
              <w:t>名国（境）外高校的全日制硕士研究生及以上学历毕业生（本科须为第二轮“双一流”建设高校全日制毕业生）。</w:t>
            </w:r>
            <w:r>
              <w:rPr>
                <w:rFonts w:hint="eastAsia" w:ascii="宋体" w:hAnsi="宋体" w:eastAsia="宋体" w:cs="宋体"/>
                <w:color w:val="000000"/>
                <w:kern w:val="0"/>
                <w:sz w:val="20"/>
                <w:szCs w:val="20"/>
              </w:rPr>
              <w:br w:type="textWrapping"/>
            </w:r>
            <w:r>
              <w:rPr>
                <w:rFonts w:hint="eastAsia" w:ascii="Times New Roman" w:hAnsi="Times New Roman" w:eastAsia="宋体" w:cs="宋体"/>
                <w:color w:val="000000"/>
                <w:kern w:val="0"/>
                <w:sz w:val="20"/>
                <w:szCs w:val="20"/>
              </w:rPr>
              <w:t>2</w:t>
            </w:r>
            <w:r>
              <w:rPr>
                <w:rFonts w:hint="eastAsia" w:ascii="宋体" w:hAnsi="宋体" w:eastAsia="宋体" w:cs="宋体"/>
                <w:color w:val="000000"/>
                <w:kern w:val="0"/>
                <w:sz w:val="20"/>
                <w:szCs w:val="20"/>
              </w:rPr>
              <w:t>.拥有行业实习实践经验，持有专业资格证书者优先。</w:t>
            </w:r>
          </w:p>
        </w:tc>
        <w:tc>
          <w:tcPr>
            <w:tcW w:w="504" w:type="pct"/>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报名网址：www.tzjob.com</w:t>
            </w:r>
            <w:r>
              <w:rPr>
                <w:rFonts w:hint="default" w:ascii="Times New Roman" w:hAnsi="Times New Roman" w:eastAsia="宋体" w:cs="Times New Roman"/>
                <w:kern w:val="0"/>
                <w:sz w:val="20"/>
                <w:szCs w:val="20"/>
              </w:rPr>
              <w:br w:type="textWrapping"/>
            </w:r>
            <w:r>
              <w:rPr>
                <w:rFonts w:hint="default" w:ascii="Times New Roman" w:hAnsi="Times New Roman" w:eastAsia="宋体" w:cs="Times New Roman"/>
                <w:kern w:val="0"/>
                <w:sz w:val="20"/>
                <w:szCs w:val="20"/>
              </w:rPr>
              <w:t>电子邮箱：tzgxdqzp@126.com</w:t>
            </w:r>
            <w:r>
              <w:rPr>
                <w:rFonts w:hint="default" w:ascii="Times New Roman" w:hAnsi="Times New Roman" w:eastAsia="宋体" w:cs="Times New Roman"/>
                <w:kern w:val="0"/>
                <w:sz w:val="20"/>
                <w:szCs w:val="20"/>
              </w:rPr>
              <w:br w:type="textWrapping"/>
            </w:r>
            <w:r>
              <w:rPr>
                <w:rFonts w:hint="default" w:ascii="Times New Roman" w:hAnsi="Times New Roman" w:eastAsia="宋体" w:cs="Times New Roman"/>
                <w:kern w:val="0"/>
                <w:sz w:val="20"/>
                <w:szCs w:val="20"/>
              </w:rPr>
              <w:t>咨询电话：1</w:t>
            </w:r>
            <w:r>
              <w:rPr>
                <w:rFonts w:hint="default" w:ascii="Times New Roman" w:hAnsi="Times New Roman" w:eastAsia="宋体" w:cs="Times New Roman"/>
                <w:kern w:val="0"/>
                <w:sz w:val="20"/>
                <w:szCs w:val="20"/>
                <w:lang w:val="en-US" w:eastAsia="zh-CN"/>
              </w:rPr>
              <w:t>5105268890</w:t>
            </w:r>
          </w:p>
        </w:tc>
        <w:tc>
          <w:tcPr>
            <w:tcW w:w="182" w:type="pct"/>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2</w:t>
            </w:r>
          </w:p>
        </w:tc>
        <w:tc>
          <w:tcPr>
            <w:tcW w:w="275" w:type="pct"/>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结构化面谈+无领导小组讨论</w:t>
            </w:r>
          </w:p>
        </w:tc>
        <w:tc>
          <w:tcPr>
            <w:tcW w:w="572" w:type="pct"/>
            <w:tcMar>
              <w:top w:w="28" w:type="dxa"/>
              <w:left w:w="57" w:type="dxa"/>
              <w:bottom w:w="28" w:type="dxa"/>
              <w:right w:w="57" w:type="dxa"/>
            </w:tcMar>
            <w:vAlign w:val="center"/>
          </w:tcPr>
          <w:p>
            <w:pPr>
              <w:widowControl/>
              <w:numPr>
                <w:ilvl w:val="0"/>
                <w:numId w:val="0"/>
              </w:numPr>
              <w:spacing w:line="240" w:lineRule="exact"/>
              <w:ind w:left="0" w:leftChars="0" w:firstLine="0" w:firstLineChars="0"/>
              <w:jc w:val="left"/>
              <w:rPr>
                <w:rFonts w:ascii="Times New Roman" w:hAnsi="Times New Roman" w:eastAsia="宋体" w:cs="Times New Roman"/>
                <w:color w:val="000000"/>
                <w:kern w:val="0"/>
                <w:sz w:val="20"/>
                <w:szCs w:val="20"/>
              </w:rPr>
            </w:pPr>
            <w:r>
              <w:rPr>
                <w:rFonts w:hint="eastAsia" w:ascii="Times New Roman" w:hAnsi="Times New Roman" w:eastAsia="宋体" w:cs="宋体"/>
                <w:color w:val="000000"/>
                <w:kern w:val="0"/>
                <w:sz w:val="20"/>
                <w:szCs w:val="20"/>
              </w:rPr>
              <w:t>1</w:t>
            </w:r>
            <w:r>
              <w:rPr>
                <w:rFonts w:hint="eastAsia" w:ascii="宋体" w:hAnsi="宋体" w:eastAsia="宋体" w:cs="宋体"/>
                <w:color w:val="000000"/>
                <w:kern w:val="0"/>
                <w:sz w:val="20"/>
                <w:szCs w:val="20"/>
              </w:rPr>
              <w:t>.工作前</w:t>
            </w:r>
            <w:r>
              <w:rPr>
                <w:rFonts w:ascii="Times New Roman" w:hAnsi="Times New Roman" w:eastAsia="宋体" w:cs="Times New Roman"/>
                <w:color w:val="000000"/>
                <w:kern w:val="0"/>
                <w:sz w:val="20"/>
                <w:szCs w:val="20"/>
              </w:rPr>
              <w:t>3</w:t>
            </w:r>
            <w:r>
              <w:rPr>
                <w:rFonts w:hint="eastAsia" w:ascii="宋体" w:hAnsi="宋体" w:eastAsia="宋体" w:cs="宋体"/>
                <w:color w:val="000000"/>
                <w:kern w:val="0"/>
                <w:sz w:val="20"/>
                <w:szCs w:val="20"/>
              </w:rPr>
              <w:t>年为培养锻炼期，培养锻炼期薪酬待遇一般高于</w:t>
            </w:r>
            <w:r>
              <w:rPr>
                <w:rFonts w:hint="eastAsia" w:ascii="宋体" w:hAnsi="宋体" w:eastAsia="宋体" w:cs="宋体"/>
                <w:color w:val="000000"/>
                <w:kern w:val="0"/>
                <w:sz w:val="20"/>
                <w:szCs w:val="20"/>
                <w:lang w:val="en-US" w:eastAsia="zh-CN"/>
              </w:rPr>
              <w:t>区本级</w:t>
            </w:r>
            <w:r>
              <w:rPr>
                <w:rFonts w:hint="eastAsia" w:ascii="宋体" w:hAnsi="宋体" w:eastAsia="宋体" w:cs="宋体"/>
                <w:color w:val="000000"/>
                <w:kern w:val="0"/>
                <w:sz w:val="20"/>
                <w:szCs w:val="20"/>
              </w:rPr>
              <w:t>同</w:t>
            </w:r>
            <w:r>
              <w:rPr>
                <w:rFonts w:hint="eastAsia" w:ascii="宋体" w:hAnsi="宋体" w:eastAsia="宋体" w:cs="宋体"/>
                <w:color w:val="000000"/>
                <w:kern w:val="0"/>
                <w:sz w:val="20"/>
                <w:szCs w:val="20"/>
                <w:lang w:val="en-US" w:eastAsia="zh-CN"/>
              </w:rPr>
              <w:t>类</w:t>
            </w:r>
            <w:r>
              <w:rPr>
                <w:rFonts w:hint="eastAsia" w:ascii="宋体" w:hAnsi="宋体" w:eastAsia="宋体" w:cs="宋体"/>
                <w:color w:val="000000"/>
                <w:kern w:val="0"/>
                <w:sz w:val="20"/>
                <w:szCs w:val="20"/>
              </w:rPr>
              <w:t>事业人员</w:t>
            </w:r>
            <w:r>
              <w:rPr>
                <w:rFonts w:ascii="Times New Roman" w:hAnsi="Times New Roman" w:eastAsia="宋体" w:cs="Times New Roman"/>
                <w:color w:val="000000"/>
                <w:kern w:val="0"/>
                <w:sz w:val="20"/>
                <w:szCs w:val="20"/>
              </w:rPr>
              <w:t>30%</w:t>
            </w:r>
            <w:r>
              <w:rPr>
                <w:rFonts w:hint="eastAsia" w:ascii="宋体" w:hAnsi="宋体" w:eastAsia="宋体" w:cs="宋体"/>
                <w:color w:val="000000"/>
                <w:kern w:val="0"/>
                <w:sz w:val="20"/>
                <w:szCs w:val="20"/>
              </w:rPr>
              <w:t>，培养锻炼期满后按照聘任岗位领取薪酬。</w:t>
            </w:r>
            <w:r>
              <w:rPr>
                <w:rFonts w:hint="eastAsia" w:ascii="宋体" w:hAnsi="宋体" w:eastAsia="宋体" w:cs="宋体"/>
                <w:color w:val="000000"/>
                <w:kern w:val="0"/>
                <w:sz w:val="20"/>
                <w:szCs w:val="20"/>
              </w:rPr>
              <w:br w:type="textWrapping"/>
            </w:r>
            <w:r>
              <w:rPr>
                <w:rFonts w:hint="eastAsia" w:ascii="Times New Roman" w:hAnsi="Times New Roman" w:eastAsia="宋体" w:cs="宋体"/>
                <w:color w:val="000000"/>
                <w:kern w:val="0"/>
                <w:sz w:val="20"/>
                <w:szCs w:val="20"/>
              </w:rPr>
              <w:t>2</w:t>
            </w:r>
            <w:r>
              <w:rPr>
                <w:rFonts w:hint="eastAsia" w:ascii="宋体" w:hAnsi="宋体" w:eastAsia="宋体" w:cs="宋体"/>
                <w:color w:val="000000"/>
                <w:kern w:val="0"/>
                <w:sz w:val="20"/>
                <w:szCs w:val="20"/>
              </w:rPr>
              <w:t>.可申请享受企业引进高层次人才相关</w:t>
            </w:r>
            <w:r>
              <w:rPr>
                <w:rFonts w:hint="eastAsia" w:ascii="宋体" w:hAnsi="宋体" w:eastAsia="宋体" w:cs="宋体"/>
                <w:color w:val="000000"/>
                <w:kern w:val="0"/>
                <w:sz w:val="20"/>
                <w:szCs w:val="20"/>
                <w:lang w:val="en-US" w:eastAsia="zh-CN"/>
              </w:rPr>
              <w:t>补贴</w:t>
            </w:r>
            <w:r>
              <w:rPr>
                <w:rFonts w:hint="eastAsia" w:ascii="宋体" w:hAnsi="宋体" w:eastAsia="宋体" w:cs="宋体"/>
                <w:color w:val="000000"/>
                <w:kern w:val="0"/>
                <w:sz w:val="20"/>
                <w:szCs w:val="20"/>
              </w:rPr>
              <w:t>待遇。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96" w:hRule="atLeast"/>
          <w:jc w:val="center"/>
        </w:trPr>
        <w:tc>
          <w:tcPr>
            <w:tcW w:w="275"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医药高新区（高港区）</w:t>
            </w:r>
          </w:p>
        </w:tc>
        <w:tc>
          <w:tcPr>
            <w:tcW w:w="212" w:type="pct"/>
            <w:shd w:val="clear" w:color="auto" w:fill="auto"/>
            <w:tcMar>
              <w:top w:w="28" w:type="dxa"/>
              <w:left w:w="57" w:type="dxa"/>
              <w:bottom w:w="28" w:type="dxa"/>
              <w:right w:w="57" w:type="dxa"/>
            </w:tcMar>
            <w:vAlign w:val="center"/>
          </w:tcPr>
          <w:p>
            <w:pPr>
              <w:widowControl/>
              <w:spacing w:line="240" w:lineRule="exact"/>
              <w:jc w:val="center"/>
              <w:rPr>
                <w:rFonts w:hint="eastAsia" w:ascii="Times New Roman" w:hAnsi="Times New Roman" w:eastAsia="宋体" w:cs="宋体"/>
                <w:color w:val="000000"/>
                <w:kern w:val="0"/>
                <w:sz w:val="20"/>
                <w:szCs w:val="20"/>
              </w:rPr>
            </w:pPr>
            <w:r>
              <w:rPr>
                <w:rFonts w:hint="eastAsia" w:ascii="Times New Roman" w:hAnsi="Times New Roman" w:eastAsia="宋体" w:cs="宋体"/>
                <w:color w:val="000000"/>
                <w:kern w:val="0"/>
                <w:sz w:val="20"/>
                <w:szCs w:val="20"/>
              </w:rPr>
              <w:t>6B</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泰州医药高新区华银金融投资有限公司</w:t>
            </w:r>
          </w:p>
        </w:tc>
        <w:tc>
          <w:tcPr>
            <w:tcW w:w="319"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经济类</w:t>
            </w:r>
          </w:p>
        </w:tc>
        <w:tc>
          <w:tcPr>
            <w:tcW w:w="229" w:type="pct"/>
            <w:shd w:val="clear" w:color="auto" w:fill="auto"/>
            <w:tcMar>
              <w:top w:w="28" w:type="dxa"/>
              <w:left w:w="57" w:type="dxa"/>
              <w:bottom w:w="28" w:type="dxa"/>
              <w:right w:w="57" w:type="dxa"/>
            </w:tcMar>
            <w:vAlign w:val="center"/>
          </w:tcPr>
          <w:p>
            <w:pPr>
              <w:widowControl/>
              <w:spacing w:line="240" w:lineRule="exact"/>
              <w:jc w:val="center"/>
              <w:rPr>
                <w:rFonts w:hint="eastAsia" w:ascii="Times New Roman" w:hAnsi="Times New Roman" w:eastAsia="宋体" w:cs="宋体"/>
                <w:color w:val="000000"/>
                <w:kern w:val="0"/>
                <w:sz w:val="20"/>
                <w:szCs w:val="20"/>
              </w:rPr>
            </w:pPr>
            <w:r>
              <w:rPr>
                <w:rFonts w:hint="eastAsia" w:ascii="Times New Roman" w:hAnsi="Times New Roman" w:eastAsia="宋体" w:cs="宋体"/>
                <w:color w:val="000000"/>
                <w:kern w:val="0"/>
                <w:sz w:val="20"/>
                <w:szCs w:val="20"/>
              </w:rPr>
              <w:t>6B</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lang w:val="en-US" w:eastAsia="zh-CN"/>
              </w:rPr>
              <w:t>8</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投资经理</w:t>
            </w:r>
          </w:p>
        </w:tc>
        <w:tc>
          <w:tcPr>
            <w:tcW w:w="182" w:type="pct"/>
            <w:shd w:val="clear" w:color="auto" w:fill="auto"/>
            <w:tcMar>
              <w:top w:w="28" w:type="dxa"/>
              <w:left w:w="57" w:type="dxa"/>
              <w:bottom w:w="28" w:type="dxa"/>
              <w:right w:w="57" w:type="dxa"/>
            </w:tcMar>
            <w:vAlign w:val="center"/>
          </w:tcPr>
          <w:p>
            <w:pPr>
              <w:widowControl/>
              <w:spacing w:line="240" w:lineRule="exact"/>
              <w:jc w:val="center"/>
              <w:rPr>
                <w:rFonts w:hint="eastAsia" w:ascii="Times New Roman" w:hAnsi="Times New Roman" w:eastAsia="宋体" w:cs="宋体"/>
                <w:color w:val="000000"/>
                <w:kern w:val="0"/>
                <w:sz w:val="20"/>
                <w:szCs w:val="20"/>
              </w:rPr>
            </w:pPr>
            <w:r>
              <w:rPr>
                <w:rFonts w:hint="eastAsia" w:ascii="Times New Roman" w:hAnsi="Times New Roman" w:eastAsia="宋体" w:cs="宋体"/>
                <w:color w:val="000000"/>
                <w:kern w:val="0"/>
                <w:sz w:val="20"/>
                <w:szCs w:val="20"/>
              </w:rPr>
              <w:t>1</w:t>
            </w:r>
          </w:p>
        </w:tc>
        <w:tc>
          <w:tcPr>
            <w:tcW w:w="365" w:type="pct"/>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本科及以上</w:t>
            </w:r>
          </w:p>
        </w:tc>
        <w:tc>
          <w:tcPr>
            <w:tcW w:w="687" w:type="pct"/>
            <w:shd w:val="clear" w:color="auto" w:fill="auto"/>
            <w:tcMar>
              <w:top w:w="28" w:type="dxa"/>
              <w:left w:w="57" w:type="dxa"/>
              <w:bottom w:w="28" w:type="dxa"/>
              <w:right w:w="57" w:type="dxa"/>
            </w:tcMar>
            <w:vAlign w:val="center"/>
          </w:tcPr>
          <w:p>
            <w:pPr>
              <w:widowControl/>
              <w:spacing w:line="240" w:lineRule="exact"/>
              <w:jc w:val="both"/>
              <w:rPr>
                <w:rFonts w:hint="eastAsia" w:ascii="宋体" w:hAnsi="宋体" w:eastAsia="宋体" w:cs="宋体"/>
                <w:color w:val="000000"/>
                <w:kern w:val="0"/>
                <w:sz w:val="20"/>
                <w:szCs w:val="20"/>
              </w:rPr>
            </w:pPr>
            <w:r>
              <w:rPr>
                <w:rFonts w:hint="eastAsia" w:ascii="宋体" w:hAnsi="宋体" w:eastAsia="宋体" w:cs="宋体"/>
                <w:kern w:val="0"/>
                <w:sz w:val="20"/>
                <w:szCs w:val="20"/>
              </w:rPr>
              <w:t>经济学、金融学、经济与金融、保险学、金融数学、大数据与审计、会计、财政学、数量经济学、税务、产业经济学、统计学、应用经济学、理论经济学</w:t>
            </w:r>
          </w:p>
        </w:tc>
        <w:tc>
          <w:tcPr>
            <w:tcW w:w="689" w:type="pct"/>
            <w:tcMar>
              <w:top w:w="28" w:type="dxa"/>
              <w:left w:w="57" w:type="dxa"/>
              <w:bottom w:w="28" w:type="dxa"/>
              <w:right w:w="57" w:type="dxa"/>
            </w:tcMar>
            <w:vAlign w:val="center"/>
          </w:tcPr>
          <w:p>
            <w:pPr>
              <w:widowControl/>
              <w:numPr>
                <w:ilvl w:val="0"/>
                <w:numId w:val="0"/>
              </w:numPr>
              <w:spacing w:line="240" w:lineRule="exact"/>
              <w:rPr>
                <w:rFonts w:hint="eastAsia" w:ascii="宋体" w:hAnsi="宋体" w:eastAsia="宋体" w:cs="宋体"/>
                <w:spacing w:val="-4"/>
                <w:kern w:val="0"/>
                <w:sz w:val="20"/>
                <w:szCs w:val="20"/>
              </w:rPr>
            </w:pPr>
            <w:r>
              <w:rPr>
                <w:rFonts w:hint="eastAsia" w:ascii="宋体" w:hAnsi="宋体" w:eastAsia="宋体" w:cs="宋体"/>
                <w:spacing w:val="-4"/>
                <w:kern w:val="0"/>
                <w:sz w:val="20"/>
                <w:szCs w:val="20"/>
                <w:lang w:val="en-US" w:eastAsia="zh-CN"/>
              </w:rPr>
              <w:t>1.</w:t>
            </w:r>
            <w:r>
              <w:rPr>
                <w:rFonts w:hint="eastAsia" w:ascii="宋体" w:hAnsi="宋体" w:eastAsia="宋体" w:cs="宋体"/>
                <w:spacing w:val="-4"/>
                <w:kern w:val="0"/>
                <w:sz w:val="20"/>
                <w:szCs w:val="20"/>
              </w:rPr>
              <w:t>毕业院校应具备以下条件之一：</w:t>
            </w:r>
          </w:p>
          <w:p>
            <w:pPr>
              <w:widowControl/>
              <w:numPr>
                <w:ilvl w:val="0"/>
                <w:numId w:val="0"/>
              </w:numPr>
              <w:spacing w:line="240" w:lineRule="exact"/>
              <w:rPr>
                <w:rFonts w:hint="eastAsia" w:ascii="宋体" w:hAnsi="宋体" w:eastAsia="宋体" w:cs="宋体"/>
                <w:spacing w:val="-4"/>
                <w:kern w:val="0"/>
                <w:sz w:val="20"/>
                <w:szCs w:val="20"/>
                <w:lang w:eastAsia="zh-CN"/>
              </w:rPr>
            </w:pPr>
            <w:r>
              <w:rPr>
                <w:rFonts w:hint="eastAsia" w:ascii="宋体" w:hAnsi="宋体" w:eastAsia="宋体" w:cs="宋体"/>
                <w:spacing w:val="-4"/>
                <w:kern w:val="0"/>
                <w:sz w:val="20"/>
                <w:szCs w:val="20"/>
              </w:rPr>
              <w:br w:type="page"/>
            </w:r>
            <w:r>
              <w:rPr>
                <w:rFonts w:hint="eastAsia" w:ascii="宋体" w:hAnsi="宋体" w:eastAsia="宋体" w:cs="宋体"/>
                <w:spacing w:val="-4"/>
                <w:kern w:val="0"/>
                <w:sz w:val="20"/>
                <w:szCs w:val="20"/>
              </w:rPr>
              <w:t>①第一轮“一流大学”建设高校全日制本科毕业生</w:t>
            </w:r>
            <w:r>
              <w:rPr>
                <w:rFonts w:hint="eastAsia" w:ascii="宋体" w:hAnsi="宋体" w:eastAsia="宋体" w:cs="宋体"/>
                <w:spacing w:val="-4"/>
                <w:kern w:val="0"/>
                <w:sz w:val="20"/>
                <w:szCs w:val="20"/>
                <w:lang w:eastAsia="zh-CN"/>
              </w:rPr>
              <w:t>；</w:t>
            </w:r>
          </w:p>
          <w:p>
            <w:pPr>
              <w:widowControl/>
              <w:numPr>
                <w:ilvl w:val="0"/>
                <w:numId w:val="0"/>
              </w:numPr>
              <w:spacing w:line="240" w:lineRule="exact"/>
              <w:rPr>
                <w:rFonts w:hint="eastAsia" w:ascii="宋体" w:hAnsi="宋体" w:eastAsia="宋体" w:cs="宋体"/>
                <w:spacing w:val="-4"/>
                <w:kern w:val="0"/>
                <w:sz w:val="20"/>
                <w:szCs w:val="20"/>
                <w:lang w:eastAsia="zh-CN"/>
              </w:rPr>
            </w:pPr>
            <w:r>
              <w:rPr>
                <w:rFonts w:hint="eastAsia" w:ascii="宋体" w:hAnsi="宋体" w:eastAsia="宋体" w:cs="宋体"/>
                <w:spacing w:val="-4"/>
                <w:kern w:val="0"/>
                <w:sz w:val="20"/>
                <w:szCs w:val="20"/>
              </w:rPr>
              <w:br w:type="page"/>
            </w:r>
            <w:r>
              <w:rPr>
                <w:rFonts w:hint="eastAsia" w:ascii="宋体" w:hAnsi="宋体" w:eastAsia="宋体" w:cs="宋体"/>
                <w:spacing w:val="-4"/>
                <w:kern w:val="0"/>
                <w:sz w:val="20"/>
                <w:szCs w:val="20"/>
              </w:rPr>
              <w:t>②第一轮“一流大学”建设高校、第二轮“双一流”建设高校全日制硕士研究生及以上学历毕业生（本科须为第二轮“双一流”建设高校全日制毕业生）</w:t>
            </w:r>
            <w:r>
              <w:rPr>
                <w:rFonts w:hint="eastAsia" w:ascii="宋体" w:hAnsi="宋体" w:eastAsia="宋体" w:cs="宋体"/>
                <w:spacing w:val="-4"/>
                <w:kern w:val="0"/>
                <w:sz w:val="20"/>
                <w:szCs w:val="20"/>
                <w:lang w:eastAsia="zh-CN"/>
              </w:rPr>
              <w:t>；</w:t>
            </w:r>
          </w:p>
          <w:p>
            <w:pPr>
              <w:widowControl/>
              <w:numPr>
                <w:ilvl w:val="0"/>
                <w:numId w:val="0"/>
              </w:numPr>
              <w:spacing w:line="240" w:lineRule="exact"/>
              <w:rPr>
                <w:rFonts w:hint="eastAsia" w:ascii="宋体" w:hAnsi="宋体" w:eastAsia="宋体" w:cs="宋体"/>
                <w:spacing w:val="-4"/>
                <w:kern w:val="0"/>
                <w:sz w:val="20"/>
                <w:szCs w:val="20"/>
              </w:rPr>
            </w:pPr>
            <w:r>
              <w:rPr>
                <w:rFonts w:hint="eastAsia" w:ascii="宋体" w:hAnsi="宋体" w:eastAsia="宋体" w:cs="宋体"/>
                <w:spacing w:val="-4"/>
                <w:kern w:val="0"/>
                <w:sz w:val="20"/>
                <w:szCs w:val="20"/>
              </w:rPr>
              <w:br w:type="page"/>
            </w:r>
            <w:r>
              <w:rPr>
                <w:rFonts w:hint="eastAsia" w:ascii="宋体" w:hAnsi="宋体" w:eastAsia="宋体" w:cs="宋体"/>
                <w:spacing w:val="-4"/>
                <w:kern w:val="0"/>
                <w:sz w:val="20"/>
                <w:szCs w:val="20"/>
              </w:rPr>
              <w:t>③最新世界大学排名榜单（</w:t>
            </w:r>
            <w:r>
              <w:rPr>
                <w:rFonts w:hint="eastAsia" w:ascii="Times New Roman" w:hAnsi="Times New Roman" w:eastAsia="宋体" w:cs="宋体"/>
                <w:spacing w:val="-4"/>
                <w:kern w:val="0"/>
                <w:sz w:val="20"/>
                <w:szCs w:val="20"/>
              </w:rPr>
              <w:t>QS</w:t>
            </w:r>
            <w:r>
              <w:rPr>
                <w:rFonts w:hint="eastAsia" w:ascii="宋体" w:hAnsi="宋体" w:eastAsia="宋体" w:cs="宋体"/>
                <w:spacing w:val="-4"/>
                <w:kern w:val="0"/>
                <w:sz w:val="20"/>
                <w:szCs w:val="20"/>
              </w:rPr>
              <w:t>、</w:t>
            </w:r>
            <w:r>
              <w:rPr>
                <w:rFonts w:hint="eastAsia" w:ascii="Times New Roman" w:hAnsi="Times New Roman" w:eastAsia="宋体" w:cs="宋体"/>
                <w:spacing w:val="-4"/>
                <w:kern w:val="0"/>
                <w:sz w:val="20"/>
                <w:szCs w:val="20"/>
              </w:rPr>
              <w:t>THE</w:t>
            </w:r>
            <w:r>
              <w:rPr>
                <w:rFonts w:hint="eastAsia" w:ascii="宋体" w:hAnsi="宋体" w:eastAsia="宋体" w:cs="宋体"/>
                <w:spacing w:val="-4"/>
                <w:kern w:val="0"/>
                <w:sz w:val="20"/>
                <w:szCs w:val="20"/>
              </w:rPr>
              <w:t>、</w:t>
            </w:r>
            <w:r>
              <w:rPr>
                <w:rFonts w:hint="eastAsia" w:ascii="Times New Roman" w:hAnsi="Times New Roman" w:eastAsia="宋体" w:cs="宋体"/>
                <w:spacing w:val="-4"/>
                <w:kern w:val="0"/>
                <w:sz w:val="20"/>
                <w:szCs w:val="20"/>
              </w:rPr>
              <w:t>U</w:t>
            </w:r>
            <w:r>
              <w:rPr>
                <w:rFonts w:hint="eastAsia" w:ascii="宋体" w:hAnsi="宋体" w:eastAsia="宋体" w:cs="宋体"/>
                <w:spacing w:val="-4"/>
                <w:kern w:val="0"/>
                <w:sz w:val="20"/>
                <w:szCs w:val="20"/>
              </w:rPr>
              <w:t>.</w:t>
            </w:r>
            <w:r>
              <w:rPr>
                <w:rFonts w:hint="eastAsia" w:ascii="Times New Roman" w:hAnsi="Times New Roman" w:eastAsia="宋体" w:cs="宋体"/>
                <w:spacing w:val="-4"/>
                <w:kern w:val="0"/>
                <w:sz w:val="20"/>
                <w:szCs w:val="20"/>
              </w:rPr>
              <w:t>S</w:t>
            </w:r>
            <w:r>
              <w:rPr>
                <w:rFonts w:hint="eastAsia" w:ascii="宋体" w:hAnsi="宋体" w:eastAsia="宋体" w:cs="宋体"/>
                <w:spacing w:val="-4"/>
                <w:kern w:val="0"/>
                <w:sz w:val="20"/>
                <w:szCs w:val="20"/>
              </w:rPr>
              <w:t>.</w:t>
            </w:r>
            <w:r>
              <w:rPr>
                <w:rFonts w:hint="eastAsia" w:ascii="Times New Roman" w:hAnsi="Times New Roman" w:eastAsia="宋体" w:cs="宋体"/>
                <w:spacing w:val="-4"/>
                <w:kern w:val="0"/>
                <w:sz w:val="20"/>
                <w:szCs w:val="20"/>
              </w:rPr>
              <w:t>NEWS</w:t>
            </w:r>
            <w:r>
              <w:rPr>
                <w:rFonts w:hint="eastAsia" w:ascii="宋体" w:hAnsi="宋体" w:eastAsia="宋体" w:cs="宋体"/>
                <w:spacing w:val="-4"/>
                <w:kern w:val="0"/>
                <w:sz w:val="20"/>
                <w:szCs w:val="20"/>
              </w:rPr>
              <w:t>、</w:t>
            </w:r>
            <w:r>
              <w:rPr>
                <w:rFonts w:hint="eastAsia" w:ascii="Times New Roman" w:hAnsi="Times New Roman" w:eastAsia="宋体" w:cs="宋体"/>
                <w:spacing w:val="-4"/>
                <w:kern w:val="0"/>
                <w:sz w:val="20"/>
                <w:szCs w:val="20"/>
              </w:rPr>
              <w:t>ARWU</w:t>
            </w:r>
            <w:r>
              <w:rPr>
                <w:rFonts w:hint="eastAsia" w:ascii="宋体" w:hAnsi="宋体" w:eastAsia="宋体" w:cs="宋体"/>
                <w:spacing w:val="-4"/>
                <w:kern w:val="0"/>
                <w:sz w:val="20"/>
                <w:szCs w:val="20"/>
              </w:rPr>
              <w:t>、</w:t>
            </w:r>
            <w:r>
              <w:rPr>
                <w:rFonts w:hint="eastAsia" w:ascii="Times New Roman" w:hAnsi="Times New Roman" w:eastAsia="宋体" w:cs="宋体"/>
                <w:spacing w:val="-4"/>
                <w:kern w:val="0"/>
                <w:sz w:val="20"/>
                <w:szCs w:val="20"/>
              </w:rPr>
              <w:t>CWUR</w:t>
            </w:r>
            <w:r>
              <w:rPr>
                <w:rFonts w:hint="eastAsia" w:ascii="宋体" w:hAnsi="宋体" w:eastAsia="宋体" w:cs="宋体"/>
                <w:spacing w:val="-4"/>
                <w:kern w:val="0"/>
                <w:sz w:val="20"/>
                <w:szCs w:val="20"/>
              </w:rPr>
              <w:t>）前</w:t>
            </w:r>
            <w:r>
              <w:rPr>
                <w:rFonts w:hint="eastAsia" w:ascii="Times New Roman" w:hAnsi="Times New Roman" w:eastAsia="宋体" w:cs="宋体"/>
                <w:spacing w:val="-4"/>
                <w:kern w:val="0"/>
                <w:sz w:val="20"/>
                <w:szCs w:val="20"/>
              </w:rPr>
              <w:t>100</w:t>
            </w:r>
            <w:r>
              <w:rPr>
                <w:rFonts w:hint="eastAsia" w:ascii="宋体" w:hAnsi="宋体" w:eastAsia="宋体" w:cs="宋体"/>
                <w:spacing w:val="-4"/>
                <w:kern w:val="0"/>
                <w:sz w:val="20"/>
                <w:szCs w:val="20"/>
              </w:rPr>
              <w:t>名国（境）外高校的全日制硕士研究生及以上学历毕业生（本科须为第二轮“双一流”建设高校全日制毕业生）。</w:t>
            </w:r>
          </w:p>
          <w:p>
            <w:pPr>
              <w:widowControl/>
              <w:spacing w:line="240" w:lineRule="exact"/>
              <w:rPr>
                <w:rFonts w:ascii="宋体" w:hAnsi="宋体" w:eastAsia="宋体" w:cs="宋体"/>
                <w:kern w:val="0"/>
                <w:sz w:val="20"/>
                <w:szCs w:val="20"/>
              </w:rPr>
            </w:pPr>
            <w:r>
              <w:rPr>
                <w:rFonts w:hint="eastAsia" w:ascii="宋体" w:hAnsi="宋体" w:eastAsia="宋体" w:cs="宋体"/>
                <w:spacing w:val="-4"/>
                <w:kern w:val="0"/>
                <w:sz w:val="20"/>
                <w:szCs w:val="20"/>
              </w:rPr>
              <w:br w:type="page"/>
            </w:r>
            <w:r>
              <w:rPr>
                <w:rFonts w:hint="eastAsia" w:ascii="Times New Roman" w:hAnsi="Times New Roman" w:eastAsia="宋体" w:cs="宋体"/>
                <w:spacing w:val="-4"/>
                <w:kern w:val="0"/>
                <w:sz w:val="20"/>
                <w:szCs w:val="20"/>
              </w:rPr>
              <w:t>2</w:t>
            </w:r>
            <w:r>
              <w:rPr>
                <w:rFonts w:hint="eastAsia" w:ascii="宋体" w:hAnsi="宋体" w:eastAsia="宋体" w:cs="宋体"/>
                <w:spacing w:val="-4"/>
                <w:kern w:val="0"/>
                <w:sz w:val="20"/>
                <w:szCs w:val="20"/>
              </w:rPr>
              <w:t>.需经常出差,建议男性。</w:t>
            </w:r>
            <w:bookmarkStart w:id="0" w:name="_GoBack"/>
            <w:bookmarkEnd w:id="0"/>
          </w:p>
        </w:tc>
        <w:tc>
          <w:tcPr>
            <w:tcW w:w="504" w:type="pct"/>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kern w:val="0"/>
                <w:sz w:val="20"/>
                <w:szCs w:val="20"/>
              </w:rPr>
            </w:pPr>
            <w:r>
              <w:rPr>
                <w:rFonts w:hint="default" w:ascii="Times New Roman" w:hAnsi="Times New Roman" w:eastAsia="宋体" w:cs="Times New Roman"/>
                <w:color w:val="000000"/>
                <w:kern w:val="0"/>
                <w:sz w:val="20"/>
                <w:szCs w:val="20"/>
              </w:rPr>
              <w:t>报名网址：www.tzjob.com</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电子邮箱：tzgxdqzp@126.com</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咨询电话：1</w:t>
            </w:r>
            <w:r>
              <w:rPr>
                <w:rFonts w:hint="default" w:ascii="Times New Roman" w:hAnsi="Times New Roman" w:eastAsia="宋体" w:cs="Times New Roman"/>
                <w:color w:val="000000"/>
                <w:kern w:val="0"/>
                <w:sz w:val="20"/>
                <w:szCs w:val="20"/>
                <w:lang w:val="en-US" w:eastAsia="zh-CN"/>
              </w:rPr>
              <w:t>5850871309</w:t>
            </w:r>
          </w:p>
        </w:tc>
        <w:tc>
          <w:tcPr>
            <w:tcW w:w="182" w:type="pct"/>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hint="eastAsia" w:ascii="Times New Roman" w:hAnsi="Times New Roman" w:eastAsia="宋体" w:cs="宋体"/>
                <w:kern w:val="0"/>
                <w:sz w:val="20"/>
                <w:szCs w:val="20"/>
              </w:rPr>
              <w:t>2</w:t>
            </w:r>
          </w:p>
        </w:tc>
        <w:tc>
          <w:tcPr>
            <w:tcW w:w="275" w:type="pct"/>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结构化面谈+无领导小组讨论</w:t>
            </w:r>
          </w:p>
        </w:tc>
        <w:tc>
          <w:tcPr>
            <w:tcW w:w="572" w:type="pct"/>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color w:val="000000"/>
                <w:kern w:val="0"/>
                <w:sz w:val="20"/>
                <w:szCs w:val="20"/>
              </w:rPr>
            </w:pPr>
            <w:r>
              <w:rPr>
                <w:rFonts w:hint="eastAsia" w:ascii="Times New Roman" w:hAnsi="Times New Roman" w:eastAsia="宋体" w:cs="宋体"/>
                <w:color w:val="000000"/>
                <w:kern w:val="0"/>
                <w:sz w:val="20"/>
                <w:szCs w:val="20"/>
              </w:rPr>
              <w:t>1</w:t>
            </w:r>
            <w:r>
              <w:rPr>
                <w:rFonts w:hint="eastAsia" w:ascii="宋体" w:hAnsi="宋体" w:eastAsia="宋体" w:cs="宋体"/>
                <w:color w:val="000000"/>
                <w:kern w:val="0"/>
                <w:sz w:val="20"/>
                <w:szCs w:val="20"/>
              </w:rPr>
              <w:t>.工作前</w:t>
            </w:r>
            <w:r>
              <w:rPr>
                <w:rFonts w:ascii="Times New Roman" w:hAnsi="Times New Roman" w:eastAsia="宋体" w:cs="Times New Roman"/>
                <w:color w:val="000000"/>
                <w:kern w:val="0"/>
                <w:sz w:val="20"/>
                <w:szCs w:val="20"/>
              </w:rPr>
              <w:t>3</w:t>
            </w:r>
            <w:r>
              <w:rPr>
                <w:rFonts w:hint="eastAsia" w:ascii="宋体" w:hAnsi="宋体" w:eastAsia="宋体" w:cs="宋体"/>
                <w:color w:val="000000"/>
                <w:kern w:val="0"/>
                <w:sz w:val="20"/>
                <w:szCs w:val="20"/>
              </w:rPr>
              <w:t>年为培养锻炼期，培养锻炼期薪酬待遇一般高于</w:t>
            </w:r>
            <w:r>
              <w:rPr>
                <w:rFonts w:hint="eastAsia" w:ascii="宋体" w:hAnsi="宋体" w:eastAsia="宋体" w:cs="宋体"/>
                <w:color w:val="000000"/>
                <w:kern w:val="0"/>
                <w:sz w:val="20"/>
                <w:szCs w:val="20"/>
                <w:lang w:val="en-US" w:eastAsia="zh-CN"/>
              </w:rPr>
              <w:t>区本级</w:t>
            </w:r>
            <w:r>
              <w:rPr>
                <w:rFonts w:hint="eastAsia" w:ascii="宋体" w:hAnsi="宋体" w:eastAsia="宋体" w:cs="宋体"/>
                <w:color w:val="000000"/>
                <w:kern w:val="0"/>
                <w:sz w:val="20"/>
                <w:szCs w:val="20"/>
              </w:rPr>
              <w:t>同</w:t>
            </w:r>
            <w:r>
              <w:rPr>
                <w:rFonts w:hint="eastAsia" w:ascii="宋体" w:hAnsi="宋体" w:eastAsia="宋体" w:cs="宋体"/>
                <w:color w:val="000000"/>
                <w:kern w:val="0"/>
                <w:sz w:val="20"/>
                <w:szCs w:val="20"/>
                <w:lang w:val="en-US" w:eastAsia="zh-CN"/>
              </w:rPr>
              <w:t>类</w:t>
            </w:r>
            <w:r>
              <w:rPr>
                <w:rFonts w:hint="eastAsia" w:ascii="宋体" w:hAnsi="宋体" w:eastAsia="宋体" w:cs="宋体"/>
                <w:color w:val="000000"/>
                <w:kern w:val="0"/>
                <w:sz w:val="20"/>
                <w:szCs w:val="20"/>
              </w:rPr>
              <w:t>事业人员</w:t>
            </w:r>
            <w:r>
              <w:rPr>
                <w:rFonts w:ascii="Times New Roman" w:hAnsi="Times New Roman" w:eastAsia="宋体" w:cs="Times New Roman"/>
                <w:color w:val="000000"/>
                <w:kern w:val="0"/>
                <w:sz w:val="20"/>
                <w:szCs w:val="20"/>
              </w:rPr>
              <w:t>30%</w:t>
            </w:r>
            <w:r>
              <w:rPr>
                <w:rFonts w:hint="eastAsia" w:ascii="宋体" w:hAnsi="宋体" w:eastAsia="宋体" w:cs="宋体"/>
                <w:color w:val="000000"/>
                <w:kern w:val="0"/>
                <w:sz w:val="20"/>
                <w:szCs w:val="20"/>
              </w:rPr>
              <w:t>，培养锻炼期满后按照聘任岗位领取薪酬。</w:t>
            </w:r>
            <w:r>
              <w:rPr>
                <w:rFonts w:hint="eastAsia" w:ascii="宋体" w:hAnsi="宋体" w:eastAsia="宋体" w:cs="宋体"/>
                <w:color w:val="000000"/>
                <w:kern w:val="0"/>
                <w:sz w:val="20"/>
                <w:szCs w:val="20"/>
              </w:rPr>
              <w:br w:type="textWrapping"/>
            </w:r>
            <w:r>
              <w:rPr>
                <w:rFonts w:hint="eastAsia" w:ascii="Times New Roman" w:hAnsi="Times New Roman" w:eastAsia="宋体" w:cs="宋体"/>
                <w:color w:val="000000"/>
                <w:kern w:val="0"/>
                <w:sz w:val="20"/>
                <w:szCs w:val="20"/>
              </w:rPr>
              <w:t>2</w:t>
            </w:r>
            <w:r>
              <w:rPr>
                <w:rFonts w:hint="eastAsia" w:ascii="宋体" w:hAnsi="宋体" w:eastAsia="宋体" w:cs="宋体"/>
                <w:color w:val="000000"/>
                <w:kern w:val="0"/>
                <w:sz w:val="20"/>
                <w:szCs w:val="20"/>
              </w:rPr>
              <w:t>.可申请享受企业引进高层次人才相关</w:t>
            </w:r>
            <w:r>
              <w:rPr>
                <w:rFonts w:hint="eastAsia" w:ascii="宋体" w:hAnsi="宋体" w:eastAsia="宋体" w:cs="宋体"/>
                <w:color w:val="000000"/>
                <w:kern w:val="0"/>
                <w:sz w:val="20"/>
                <w:szCs w:val="20"/>
                <w:lang w:val="en-US" w:eastAsia="zh-CN"/>
              </w:rPr>
              <w:t>补贴</w:t>
            </w:r>
            <w:r>
              <w:rPr>
                <w:rFonts w:hint="eastAsia" w:ascii="宋体" w:hAnsi="宋体" w:eastAsia="宋体" w:cs="宋体"/>
                <w:color w:val="000000"/>
                <w:kern w:val="0"/>
                <w:sz w:val="20"/>
                <w:szCs w:val="20"/>
              </w:rPr>
              <w:t>待遇。</w:t>
            </w:r>
          </w:p>
        </w:tc>
      </w:tr>
    </w:tbl>
    <w:p>
      <w:pPr>
        <w:widowControl/>
        <w:jc w:val="left"/>
      </w:pPr>
      <w:r>
        <w:br w:type="page"/>
      </w:r>
    </w:p>
    <w:p>
      <w:pPr>
        <w:rPr>
          <w:rFonts w:hint="eastAsia" w:ascii="黑体" w:hAnsi="黑体" w:eastAsia="黑体"/>
          <w:sz w:val="30"/>
          <w:szCs w:val="30"/>
        </w:rPr>
      </w:pPr>
    </w:p>
    <w:p>
      <w:pPr>
        <w:jc w:val="center"/>
        <w:rPr>
          <w:rFonts w:hint="eastAsia" w:ascii="方正小标宋_GBK" w:eastAsia="方正小标宋_GBK"/>
          <w:sz w:val="44"/>
          <w:szCs w:val="44"/>
        </w:rPr>
      </w:pPr>
      <w:r>
        <w:rPr>
          <w:rFonts w:hint="eastAsia" w:ascii="Times New Roman" w:hAnsi="Times New Roman" w:eastAsia="方正小标宋_GBK"/>
          <w:sz w:val="44"/>
          <w:szCs w:val="44"/>
        </w:rPr>
        <w:t>2024</w:t>
      </w:r>
      <w:r>
        <w:rPr>
          <w:rFonts w:hint="eastAsia" w:ascii="方正小标宋_GBK" w:eastAsia="方正小标宋_GBK"/>
          <w:sz w:val="44"/>
          <w:szCs w:val="44"/>
        </w:rPr>
        <w:t>年度泰州市青年人才选聘岗位简介表（教育类岗位）</w:t>
      </w:r>
    </w:p>
    <w:tbl>
      <w:tblPr>
        <w:tblStyle w:val="4"/>
        <w:tblW w:w="5074" w:type="pct"/>
        <w:jc w:val="center"/>
        <w:tblLayout w:type="fixed"/>
        <w:tblCellMar>
          <w:top w:w="0" w:type="dxa"/>
          <w:left w:w="108" w:type="dxa"/>
          <w:bottom w:w="0" w:type="dxa"/>
          <w:right w:w="108" w:type="dxa"/>
        </w:tblCellMar>
      </w:tblPr>
      <w:tblGrid>
        <w:gridCol w:w="878"/>
        <w:gridCol w:w="587"/>
        <w:gridCol w:w="974"/>
        <w:gridCol w:w="707"/>
        <w:gridCol w:w="1134"/>
        <w:gridCol w:w="569"/>
        <w:gridCol w:w="993"/>
        <w:gridCol w:w="2065"/>
        <w:gridCol w:w="2611"/>
        <w:gridCol w:w="1702"/>
        <w:gridCol w:w="569"/>
        <w:gridCol w:w="851"/>
        <w:gridCol w:w="1724"/>
      </w:tblGrid>
      <w:tr>
        <w:tblPrEx>
          <w:tblCellMar>
            <w:top w:w="0" w:type="dxa"/>
            <w:left w:w="108" w:type="dxa"/>
            <w:bottom w:w="0" w:type="dxa"/>
            <w:right w:w="108" w:type="dxa"/>
          </w:tblCellMar>
        </w:tblPrEx>
        <w:trPr>
          <w:trHeight w:val="340" w:hRule="atLeast"/>
          <w:tblHeader/>
          <w:jc w:val="center"/>
        </w:trPr>
        <w:tc>
          <w:tcPr>
            <w:tcW w:w="285" w:type="pct"/>
            <w:vMerge w:val="restart"/>
            <w:tcBorders>
              <w:top w:val="single" w:color="auto" w:sz="8" w:space="0"/>
              <w:left w:val="single" w:color="auto" w:sz="8"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地区</w:t>
            </w:r>
            <w:r>
              <w:rPr>
                <w:rFonts w:ascii="Times New Roman" w:hAnsi="Times New Roman" w:eastAsia="宋体" w:cs="Times New Roman"/>
                <w:b/>
                <w:bCs/>
                <w:color w:val="000000"/>
                <w:kern w:val="0"/>
                <w:sz w:val="20"/>
                <w:szCs w:val="20"/>
              </w:rPr>
              <w:br w:type="textWrapping"/>
            </w:r>
            <w:r>
              <w:rPr>
                <w:rFonts w:hint="eastAsia" w:ascii="宋体" w:hAnsi="宋体" w:eastAsia="宋体" w:cs="宋体"/>
                <w:b/>
                <w:bCs/>
                <w:color w:val="000000"/>
                <w:kern w:val="0"/>
                <w:sz w:val="20"/>
                <w:szCs w:val="20"/>
              </w:rPr>
              <w:t>名称</w:t>
            </w:r>
          </w:p>
        </w:tc>
        <w:tc>
          <w:tcPr>
            <w:tcW w:w="508" w:type="pct"/>
            <w:gridSpan w:val="2"/>
            <w:tcBorders>
              <w:top w:val="single" w:color="auto" w:sz="8"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选聘单位</w:t>
            </w:r>
          </w:p>
        </w:tc>
        <w:tc>
          <w:tcPr>
            <w:tcW w:w="599" w:type="pct"/>
            <w:gridSpan w:val="2"/>
            <w:tcBorders>
              <w:top w:val="single" w:color="auto" w:sz="8"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选聘岗位</w:t>
            </w:r>
          </w:p>
        </w:tc>
        <w:tc>
          <w:tcPr>
            <w:tcW w:w="185" w:type="pct"/>
            <w:vMerge w:val="restart"/>
            <w:tcBorders>
              <w:top w:val="single" w:color="auto" w:sz="8"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选聘</w:t>
            </w:r>
            <w:r>
              <w:rPr>
                <w:rFonts w:ascii="Times New Roman" w:hAnsi="Times New Roman" w:eastAsia="宋体" w:cs="Times New Roman"/>
                <w:b/>
                <w:bCs/>
                <w:color w:val="000000"/>
                <w:kern w:val="0"/>
                <w:sz w:val="20"/>
                <w:szCs w:val="20"/>
              </w:rPr>
              <w:br w:type="textWrapping"/>
            </w:r>
            <w:r>
              <w:rPr>
                <w:rFonts w:ascii="Times New Roman" w:hAnsi="Times New Roman" w:eastAsia="宋体" w:cs="Times New Roman"/>
                <w:b/>
                <w:bCs/>
                <w:color w:val="000000"/>
                <w:kern w:val="0"/>
                <w:sz w:val="20"/>
                <w:szCs w:val="20"/>
              </w:rPr>
              <w:t>人数</w:t>
            </w:r>
          </w:p>
        </w:tc>
        <w:tc>
          <w:tcPr>
            <w:tcW w:w="1844" w:type="pct"/>
            <w:gridSpan w:val="3"/>
            <w:tcBorders>
              <w:top w:val="single" w:color="auto" w:sz="8"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选聘条件</w:t>
            </w:r>
          </w:p>
        </w:tc>
        <w:tc>
          <w:tcPr>
            <w:tcW w:w="553" w:type="pct"/>
            <w:vMerge w:val="restart"/>
            <w:tcBorders>
              <w:top w:val="single" w:color="auto" w:sz="8"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联系方式</w:t>
            </w:r>
          </w:p>
        </w:tc>
        <w:tc>
          <w:tcPr>
            <w:tcW w:w="185" w:type="pct"/>
            <w:vMerge w:val="restart"/>
            <w:tcBorders>
              <w:top w:val="single" w:color="auto" w:sz="8"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开考</w:t>
            </w:r>
          </w:p>
          <w:p>
            <w:pPr>
              <w:widowControl/>
              <w:spacing w:line="24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比例</w:t>
            </w:r>
          </w:p>
        </w:tc>
        <w:tc>
          <w:tcPr>
            <w:tcW w:w="276" w:type="pct"/>
            <w:vMerge w:val="restart"/>
            <w:tcBorders>
              <w:top w:val="single" w:color="auto" w:sz="8"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考试</w:t>
            </w:r>
          </w:p>
          <w:p>
            <w:pPr>
              <w:widowControl/>
              <w:spacing w:line="24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形式</w:t>
            </w:r>
          </w:p>
        </w:tc>
        <w:tc>
          <w:tcPr>
            <w:tcW w:w="561" w:type="pct"/>
            <w:vMerge w:val="restart"/>
            <w:tcBorders>
              <w:top w:val="single" w:color="auto" w:sz="8" w:space="0"/>
              <w:left w:val="single" w:color="auto" w:sz="4" w:space="0"/>
              <w:bottom w:val="single" w:color="auto" w:sz="4" w:space="0"/>
              <w:right w:val="single" w:color="auto" w:sz="8"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优惠政策</w:t>
            </w:r>
          </w:p>
        </w:tc>
      </w:tr>
      <w:tr>
        <w:tblPrEx>
          <w:tblCellMar>
            <w:top w:w="0" w:type="dxa"/>
            <w:left w:w="108" w:type="dxa"/>
            <w:bottom w:w="0" w:type="dxa"/>
            <w:right w:w="108" w:type="dxa"/>
          </w:tblCellMar>
        </w:tblPrEx>
        <w:trPr>
          <w:trHeight w:val="340" w:hRule="atLeast"/>
          <w:tblHeader/>
          <w:jc w:val="center"/>
        </w:trPr>
        <w:tc>
          <w:tcPr>
            <w:tcW w:w="285" w:type="pct"/>
            <w:vMerge w:val="continue"/>
            <w:tcBorders>
              <w:top w:val="single" w:color="auto" w:sz="4" w:space="0"/>
              <w:left w:val="single" w:color="auto" w:sz="8" w:space="0"/>
              <w:bottom w:val="single" w:color="auto" w:sz="4" w:space="0"/>
              <w:right w:val="single" w:color="auto" w:sz="4" w:space="0"/>
            </w:tcBorders>
            <w:tcMar>
              <w:top w:w="28" w:type="dxa"/>
              <w:left w:w="57" w:type="dxa"/>
              <w:bottom w:w="28" w:type="dxa"/>
              <w:right w:w="57" w:type="dxa"/>
            </w:tcMar>
            <w:vAlign w:val="center"/>
          </w:tcPr>
          <w:p>
            <w:pPr>
              <w:widowControl/>
              <w:spacing w:line="240" w:lineRule="exact"/>
              <w:jc w:val="left"/>
              <w:rPr>
                <w:rFonts w:ascii="宋体" w:hAnsi="宋体" w:eastAsia="宋体" w:cs="宋体"/>
                <w:b/>
                <w:bCs/>
                <w:color w:val="000000"/>
                <w:kern w:val="0"/>
                <w:sz w:val="20"/>
                <w:szCs w:val="20"/>
              </w:rPr>
            </w:pPr>
          </w:p>
        </w:tc>
        <w:tc>
          <w:tcPr>
            <w:tcW w:w="191"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b/>
                <w:bCs/>
                <w:color w:val="000000"/>
                <w:kern w:val="0"/>
                <w:sz w:val="20"/>
                <w:szCs w:val="20"/>
              </w:rPr>
            </w:pPr>
            <w:r>
              <w:rPr>
                <w:rFonts w:hint="eastAsia" w:ascii="宋体" w:hAnsi="宋体" w:eastAsia="宋体" w:cs="Times New Roman"/>
                <w:b/>
                <w:bCs/>
                <w:color w:val="000000"/>
                <w:kern w:val="0"/>
                <w:sz w:val="20"/>
                <w:szCs w:val="20"/>
              </w:rPr>
              <w:t>单位</w:t>
            </w:r>
            <w:r>
              <w:rPr>
                <w:rFonts w:hint="eastAsia" w:ascii="宋体" w:hAnsi="宋体" w:eastAsia="宋体" w:cs="Times New Roman"/>
                <w:b/>
                <w:bCs/>
                <w:color w:val="000000"/>
                <w:kern w:val="0"/>
                <w:sz w:val="20"/>
                <w:szCs w:val="20"/>
              </w:rPr>
              <w:br w:type="textWrapping"/>
            </w:r>
            <w:r>
              <w:rPr>
                <w:rFonts w:hint="eastAsia" w:ascii="宋体" w:hAnsi="宋体" w:eastAsia="宋体" w:cs="Times New Roman"/>
                <w:b/>
                <w:bCs/>
                <w:color w:val="000000"/>
                <w:kern w:val="0"/>
                <w:sz w:val="20"/>
                <w:szCs w:val="20"/>
              </w:rPr>
              <w:t>代码</w:t>
            </w:r>
          </w:p>
        </w:tc>
        <w:tc>
          <w:tcPr>
            <w:tcW w:w="316"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hint="eastAsia"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单位</w:t>
            </w:r>
          </w:p>
          <w:p>
            <w:pPr>
              <w:widowControl/>
              <w:spacing w:line="240" w:lineRule="exact"/>
              <w:jc w:val="center"/>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全称</w:t>
            </w:r>
          </w:p>
        </w:tc>
        <w:tc>
          <w:tcPr>
            <w:tcW w:w="230"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b/>
                <w:bCs/>
                <w:color w:val="000000"/>
                <w:kern w:val="0"/>
                <w:sz w:val="20"/>
                <w:szCs w:val="20"/>
              </w:rPr>
            </w:pPr>
            <w:r>
              <w:rPr>
                <w:rFonts w:hint="eastAsia" w:ascii="宋体" w:hAnsi="宋体" w:eastAsia="宋体" w:cs="Times New Roman"/>
                <w:b/>
                <w:bCs/>
                <w:color w:val="000000"/>
                <w:kern w:val="0"/>
                <w:sz w:val="20"/>
                <w:szCs w:val="20"/>
              </w:rPr>
              <w:t>岗位</w:t>
            </w:r>
            <w:r>
              <w:rPr>
                <w:rFonts w:hint="eastAsia" w:ascii="宋体" w:hAnsi="宋体" w:eastAsia="宋体" w:cs="Times New Roman"/>
                <w:b/>
                <w:bCs/>
                <w:color w:val="000000"/>
                <w:kern w:val="0"/>
                <w:sz w:val="20"/>
                <w:szCs w:val="20"/>
              </w:rPr>
              <w:br w:type="textWrapping"/>
            </w:r>
            <w:r>
              <w:rPr>
                <w:rFonts w:hint="eastAsia" w:ascii="宋体" w:hAnsi="宋体" w:eastAsia="宋体" w:cs="Times New Roman"/>
                <w:b/>
                <w:bCs/>
                <w:color w:val="000000"/>
                <w:kern w:val="0"/>
                <w:sz w:val="20"/>
                <w:szCs w:val="20"/>
              </w:rPr>
              <w:t>代码</w:t>
            </w:r>
          </w:p>
        </w:tc>
        <w:tc>
          <w:tcPr>
            <w:tcW w:w="369"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hint="eastAsia"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岗位</w:t>
            </w:r>
          </w:p>
          <w:p>
            <w:pPr>
              <w:widowControl/>
              <w:spacing w:line="240" w:lineRule="exact"/>
              <w:jc w:val="center"/>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名称</w:t>
            </w:r>
          </w:p>
        </w:tc>
        <w:tc>
          <w:tcPr>
            <w:tcW w:w="185" w:type="pct"/>
            <w:vMerge w:val="continue"/>
            <w:tcBorders>
              <w:top w:val="single" w:color="auto" w:sz="4" w:space="0"/>
              <w:left w:val="single" w:color="auto" w:sz="4" w:space="0"/>
              <w:bottom w:val="single" w:color="auto" w:sz="4" w:space="0"/>
              <w:right w:val="single" w:color="auto" w:sz="4" w:space="0"/>
            </w:tcBorders>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b/>
                <w:bCs/>
                <w:color w:val="000000"/>
                <w:kern w:val="0"/>
                <w:sz w:val="20"/>
                <w:szCs w:val="20"/>
              </w:rPr>
            </w:pPr>
          </w:p>
        </w:tc>
        <w:tc>
          <w:tcPr>
            <w:tcW w:w="323"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学历</w:t>
            </w:r>
          </w:p>
        </w:tc>
        <w:tc>
          <w:tcPr>
            <w:tcW w:w="672"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专业</w:t>
            </w:r>
          </w:p>
        </w:tc>
        <w:tc>
          <w:tcPr>
            <w:tcW w:w="849"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其他条件</w:t>
            </w:r>
          </w:p>
        </w:tc>
        <w:tc>
          <w:tcPr>
            <w:tcW w:w="553" w:type="pct"/>
            <w:vMerge w:val="continue"/>
            <w:tcBorders>
              <w:top w:val="single" w:color="auto" w:sz="4" w:space="0"/>
              <w:left w:val="single" w:color="auto" w:sz="4" w:space="0"/>
              <w:bottom w:val="single" w:color="auto" w:sz="4" w:space="0"/>
              <w:right w:val="single" w:color="auto" w:sz="4" w:space="0"/>
            </w:tcBorders>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b/>
                <w:bCs/>
                <w:kern w:val="0"/>
                <w:sz w:val="20"/>
                <w:szCs w:val="20"/>
              </w:rPr>
            </w:pPr>
          </w:p>
        </w:tc>
        <w:tc>
          <w:tcPr>
            <w:tcW w:w="185" w:type="pct"/>
            <w:vMerge w:val="continue"/>
            <w:tcBorders>
              <w:top w:val="single" w:color="auto" w:sz="4" w:space="0"/>
              <w:left w:val="single" w:color="auto" w:sz="4" w:space="0"/>
              <w:bottom w:val="single" w:color="auto" w:sz="4" w:space="0"/>
              <w:right w:val="single" w:color="auto" w:sz="4" w:space="0"/>
            </w:tcBorders>
            <w:tcMar>
              <w:top w:w="28" w:type="dxa"/>
              <w:left w:w="57" w:type="dxa"/>
              <w:bottom w:w="28" w:type="dxa"/>
              <w:right w:w="57" w:type="dxa"/>
            </w:tcMar>
            <w:vAlign w:val="center"/>
          </w:tcPr>
          <w:p>
            <w:pPr>
              <w:widowControl/>
              <w:spacing w:line="240" w:lineRule="exact"/>
              <w:jc w:val="left"/>
              <w:rPr>
                <w:rFonts w:ascii="宋体" w:hAnsi="宋体" w:eastAsia="宋体" w:cs="宋体"/>
                <w:b/>
                <w:bCs/>
                <w:color w:val="000000"/>
                <w:kern w:val="0"/>
                <w:sz w:val="20"/>
                <w:szCs w:val="20"/>
              </w:rPr>
            </w:pPr>
          </w:p>
        </w:tc>
        <w:tc>
          <w:tcPr>
            <w:tcW w:w="276" w:type="pct"/>
            <w:vMerge w:val="continue"/>
            <w:tcBorders>
              <w:top w:val="single" w:color="auto" w:sz="4" w:space="0"/>
              <w:left w:val="single" w:color="auto" w:sz="4" w:space="0"/>
              <w:bottom w:val="single" w:color="auto" w:sz="4" w:space="0"/>
              <w:right w:val="single" w:color="auto" w:sz="4" w:space="0"/>
            </w:tcBorders>
            <w:tcMar>
              <w:top w:w="28" w:type="dxa"/>
              <w:left w:w="57" w:type="dxa"/>
              <w:bottom w:w="28" w:type="dxa"/>
              <w:right w:w="57" w:type="dxa"/>
            </w:tcMar>
            <w:vAlign w:val="center"/>
          </w:tcPr>
          <w:p>
            <w:pPr>
              <w:widowControl/>
              <w:spacing w:line="240" w:lineRule="exact"/>
              <w:jc w:val="left"/>
              <w:rPr>
                <w:rFonts w:ascii="宋体" w:hAnsi="宋体" w:eastAsia="宋体" w:cs="宋体"/>
                <w:b/>
                <w:bCs/>
                <w:kern w:val="0"/>
                <w:sz w:val="20"/>
                <w:szCs w:val="20"/>
              </w:rPr>
            </w:pPr>
          </w:p>
        </w:tc>
        <w:tc>
          <w:tcPr>
            <w:tcW w:w="561" w:type="pct"/>
            <w:vMerge w:val="continue"/>
            <w:tcBorders>
              <w:top w:val="single" w:color="auto" w:sz="4" w:space="0"/>
              <w:left w:val="single" w:color="auto" w:sz="4" w:space="0"/>
              <w:bottom w:val="single" w:color="auto" w:sz="4" w:space="0"/>
              <w:right w:val="single" w:color="auto" w:sz="8" w:space="0"/>
            </w:tcBorders>
            <w:tcMar>
              <w:top w:w="28" w:type="dxa"/>
              <w:left w:w="57" w:type="dxa"/>
              <w:bottom w:w="28" w:type="dxa"/>
              <w:right w:w="57" w:type="dxa"/>
            </w:tcMar>
            <w:vAlign w:val="center"/>
          </w:tcPr>
          <w:p>
            <w:pPr>
              <w:widowControl/>
              <w:spacing w:line="240" w:lineRule="exact"/>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624" w:hRule="atLeast"/>
          <w:jc w:val="center"/>
        </w:trPr>
        <w:tc>
          <w:tcPr>
            <w:tcW w:w="285" w:type="pct"/>
            <w:tcBorders>
              <w:top w:val="single" w:color="auto" w:sz="4" w:space="0"/>
              <w:left w:val="single" w:color="auto" w:sz="8"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泰州市</w:t>
            </w:r>
          </w:p>
        </w:tc>
        <w:tc>
          <w:tcPr>
            <w:tcW w:w="191"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Times New Roman" w:hAnsi="Times New Roman" w:eastAsia="宋体" w:cs="宋体"/>
                <w:color w:val="000000"/>
                <w:kern w:val="0"/>
                <w:sz w:val="20"/>
                <w:szCs w:val="20"/>
              </w:rPr>
              <w:t>1C</w:t>
            </w:r>
          </w:p>
        </w:tc>
        <w:tc>
          <w:tcPr>
            <w:tcW w:w="316"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泰州职业技术学院</w:t>
            </w:r>
          </w:p>
        </w:tc>
        <w:tc>
          <w:tcPr>
            <w:tcW w:w="230"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Times New Roman" w:hAnsi="Times New Roman" w:eastAsia="宋体" w:cs="宋体"/>
                <w:color w:val="000000"/>
                <w:kern w:val="0"/>
                <w:sz w:val="20"/>
                <w:szCs w:val="20"/>
              </w:rPr>
              <w:t>1C</w:t>
            </w:r>
            <w:r>
              <w:rPr>
                <w:rFonts w:hint="eastAsia" w:ascii="宋体" w:hAnsi="宋体" w:eastAsia="宋体" w:cs="宋体"/>
                <w:color w:val="000000"/>
                <w:kern w:val="0"/>
                <w:sz w:val="20"/>
                <w:szCs w:val="20"/>
              </w:rPr>
              <w:t>-</w:t>
            </w:r>
            <w:r>
              <w:rPr>
                <w:rFonts w:hint="eastAsia" w:ascii="Times New Roman" w:hAnsi="Times New Roman" w:eastAsia="宋体" w:cs="宋体"/>
                <w:color w:val="000000"/>
                <w:kern w:val="0"/>
                <w:sz w:val="20"/>
                <w:szCs w:val="20"/>
              </w:rPr>
              <w:t>1</w:t>
            </w:r>
          </w:p>
        </w:tc>
        <w:tc>
          <w:tcPr>
            <w:tcW w:w="369"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从事教学及科研工作</w:t>
            </w:r>
          </w:p>
        </w:tc>
        <w:tc>
          <w:tcPr>
            <w:tcW w:w="185"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Times New Roman" w:hAnsi="Times New Roman" w:eastAsia="宋体" w:cs="宋体"/>
                <w:color w:val="000000"/>
                <w:kern w:val="0"/>
                <w:sz w:val="20"/>
                <w:szCs w:val="20"/>
              </w:rPr>
              <w:t>2</w:t>
            </w:r>
          </w:p>
        </w:tc>
        <w:tc>
          <w:tcPr>
            <w:tcW w:w="323"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硕士</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研究生</w:t>
            </w:r>
          </w:p>
        </w:tc>
        <w:tc>
          <w:tcPr>
            <w:tcW w:w="672"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机械工程类、机电控制类、汽车工程类</w:t>
            </w:r>
          </w:p>
        </w:tc>
        <w:tc>
          <w:tcPr>
            <w:tcW w:w="849" w:type="pct"/>
            <w:vMerge w:val="restar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p>
        </w:tc>
        <w:tc>
          <w:tcPr>
            <w:tcW w:w="553" w:type="pct"/>
            <w:vMerge w:val="restart"/>
            <w:tcBorders>
              <w:top w:val="single" w:color="auto" w:sz="4" w:space="0"/>
              <w:left w:val="single" w:color="auto" w:sz="4" w:space="0"/>
              <w:bottom w:val="single" w:color="auto" w:sz="8"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报名网址：http://rczp.tzpc.edu.cn</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电子邮箱：tzyrsc@126.com</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咨询电话：0523-86664005</w:t>
            </w:r>
          </w:p>
        </w:tc>
        <w:tc>
          <w:tcPr>
            <w:tcW w:w="185" w:type="pct"/>
            <w:vMerge w:val="restart"/>
            <w:tcBorders>
              <w:top w:val="single" w:color="auto" w:sz="4" w:space="0"/>
              <w:left w:val="single" w:color="auto" w:sz="4" w:space="0"/>
              <w:bottom w:val="single" w:color="auto" w:sz="8"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Times New Roman" w:hAnsi="Times New Roman" w:eastAsia="宋体" w:cs="宋体"/>
                <w:color w:val="000000"/>
                <w:kern w:val="0"/>
                <w:sz w:val="20"/>
                <w:szCs w:val="20"/>
              </w:rPr>
              <w:t>2</w:t>
            </w:r>
          </w:p>
        </w:tc>
        <w:tc>
          <w:tcPr>
            <w:tcW w:w="276" w:type="pct"/>
            <w:vMerge w:val="restart"/>
            <w:tcBorders>
              <w:top w:val="single" w:color="auto" w:sz="4" w:space="0"/>
              <w:left w:val="single" w:color="auto" w:sz="4" w:space="0"/>
              <w:bottom w:val="single" w:color="auto" w:sz="8"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试讲+</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面试</w:t>
            </w:r>
          </w:p>
        </w:tc>
        <w:tc>
          <w:tcPr>
            <w:tcW w:w="561" w:type="pct"/>
            <w:vMerge w:val="restart"/>
            <w:tcBorders>
              <w:top w:val="single" w:color="auto" w:sz="4" w:space="0"/>
              <w:left w:val="single" w:color="auto" w:sz="4" w:space="0"/>
              <w:bottom w:val="single" w:color="auto" w:sz="8" w:space="0"/>
              <w:right w:val="single" w:color="auto" w:sz="8"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纳入人员总量管理</w:t>
            </w:r>
          </w:p>
        </w:tc>
      </w:tr>
      <w:tr>
        <w:tblPrEx>
          <w:tblCellMar>
            <w:top w:w="0" w:type="dxa"/>
            <w:left w:w="108" w:type="dxa"/>
            <w:bottom w:w="0" w:type="dxa"/>
            <w:right w:w="108" w:type="dxa"/>
          </w:tblCellMar>
        </w:tblPrEx>
        <w:trPr>
          <w:trHeight w:val="624" w:hRule="atLeast"/>
          <w:jc w:val="center"/>
        </w:trPr>
        <w:tc>
          <w:tcPr>
            <w:tcW w:w="285" w:type="pct"/>
            <w:tcBorders>
              <w:top w:val="single" w:color="auto" w:sz="4" w:space="0"/>
              <w:left w:val="single" w:color="auto" w:sz="8"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泰州市</w:t>
            </w:r>
          </w:p>
        </w:tc>
        <w:tc>
          <w:tcPr>
            <w:tcW w:w="191"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Times New Roman" w:hAnsi="Times New Roman" w:eastAsia="宋体" w:cs="宋体"/>
                <w:color w:val="000000"/>
                <w:kern w:val="0"/>
                <w:sz w:val="20"/>
                <w:szCs w:val="20"/>
              </w:rPr>
              <w:t>1C</w:t>
            </w:r>
          </w:p>
        </w:tc>
        <w:tc>
          <w:tcPr>
            <w:tcW w:w="316"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泰州职业技术学院</w:t>
            </w:r>
          </w:p>
        </w:tc>
        <w:tc>
          <w:tcPr>
            <w:tcW w:w="230"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Times New Roman" w:hAnsi="Times New Roman" w:eastAsia="宋体" w:cs="宋体"/>
                <w:color w:val="000000"/>
                <w:kern w:val="0"/>
                <w:sz w:val="20"/>
                <w:szCs w:val="20"/>
              </w:rPr>
              <w:t>1C</w:t>
            </w:r>
            <w:r>
              <w:rPr>
                <w:rFonts w:hint="eastAsia" w:ascii="宋体" w:hAnsi="宋体" w:eastAsia="宋体" w:cs="宋体"/>
                <w:color w:val="000000"/>
                <w:kern w:val="0"/>
                <w:sz w:val="20"/>
                <w:szCs w:val="20"/>
              </w:rPr>
              <w:t>-</w:t>
            </w:r>
            <w:r>
              <w:rPr>
                <w:rFonts w:hint="eastAsia" w:ascii="Times New Roman" w:hAnsi="Times New Roman" w:eastAsia="宋体" w:cs="宋体"/>
                <w:color w:val="000000"/>
                <w:kern w:val="0"/>
                <w:sz w:val="20"/>
                <w:szCs w:val="20"/>
              </w:rPr>
              <w:t>2</w:t>
            </w:r>
          </w:p>
        </w:tc>
        <w:tc>
          <w:tcPr>
            <w:tcW w:w="369"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从事教学及科研工作</w:t>
            </w:r>
          </w:p>
        </w:tc>
        <w:tc>
          <w:tcPr>
            <w:tcW w:w="185"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Times New Roman" w:hAnsi="Times New Roman" w:eastAsia="宋体" w:cs="宋体"/>
                <w:color w:val="000000"/>
                <w:kern w:val="0"/>
                <w:sz w:val="20"/>
                <w:szCs w:val="20"/>
              </w:rPr>
              <w:t>2</w:t>
            </w:r>
          </w:p>
        </w:tc>
        <w:tc>
          <w:tcPr>
            <w:tcW w:w="323"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硕士</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研究生</w:t>
            </w:r>
          </w:p>
        </w:tc>
        <w:tc>
          <w:tcPr>
            <w:tcW w:w="672"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土木建筑类</w:t>
            </w:r>
          </w:p>
        </w:tc>
        <w:tc>
          <w:tcPr>
            <w:tcW w:w="849" w:type="pct"/>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p>
        </w:tc>
        <w:tc>
          <w:tcPr>
            <w:tcW w:w="553" w:type="pct"/>
            <w:vMerge w:val="continue"/>
            <w:tcBorders>
              <w:top w:val="single" w:color="auto" w:sz="8" w:space="0"/>
              <w:left w:val="single" w:color="auto" w:sz="4" w:space="0"/>
              <w:bottom w:val="single" w:color="auto" w:sz="8"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color w:val="000000"/>
                <w:kern w:val="0"/>
                <w:sz w:val="20"/>
                <w:szCs w:val="20"/>
              </w:rPr>
            </w:pPr>
          </w:p>
        </w:tc>
        <w:tc>
          <w:tcPr>
            <w:tcW w:w="185" w:type="pct"/>
            <w:vMerge w:val="continue"/>
            <w:tcBorders>
              <w:top w:val="single" w:color="auto" w:sz="8" w:space="0"/>
              <w:left w:val="single" w:color="auto" w:sz="4" w:space="0"/>
              <w:bottom w:val="single" w:color="auto" w:sz="8" w:space="0"/>
              <w:right w:val="single" w:color="auto" w:sz="4" w:space="0"/>
            </w:tcBorders>
            <w:tcMar>
              <w:top w:w="28" w:type="dxa"/>
              <w:left w:w="57" w:type="dxa"/>
              <w:bottom w:w="28" w:type="dxa"/>
              <w:right w:w="57" w:type="dxa"/>
            </w:tcMar>
            <w:vAlign w:val="center"/>
          </w:tcPr>
          <w:p>
            <w:pPr>
              <w:widowControl/>
              <w:spacing w:line="240" w:lineRule="exact"/>
              <w:jc w:val="left"/>
              <w:rPr>
                <w:rFonts w:ascii="宋体" w:hAnsi="宋体" w:eastAsia="宋体" w:cs="宋体"/>
                <w:color w:val="000000"/>
                <w:kern w:val="0"/>
                <w:sz w:val="20"/>
                <w:szCs w:val="20"/>
              </w:rPr>
            </w:pPr>
          </w:p>
        </w:tc>
        <w:tc>
          <w:tcPr>
            <w:tcW w:w="276" w:type="pct"/>
            <w:vMerge w:val="continue"/>
            <w:tcBorders>
              <w:top w:val="single" w:color="auto" w:sz="8" w:space="0"/>
              <w:left w:val="single" w:color="auto" w:sz="4" w:space="0"/>
              <w:bottom w:val="single" w:color="auto" w:sz="8" w:space="0"/>
              <w:right w:val="single" w:color="auto" w:sz="4" w:space="0"/>
            </w:tcBorders>
            <w:tcMar>
              <w:top w:w="28" w:type="dxa"/>
              <w:left w:w="57" w:type="dxa"/>
              <w:bottom w:w="28" w:type="dxa"/>
              <w:right w:w="57" w:type="dxa"/>
            </w:tcMar>
            <w:vAlign w:val="center"/>
          </w:tcPr>
          <w:p>
            <w:pPr>
              <w:widowControl/>
              <w:spacing w:line="240" w:lineRule="exact"/>
              <w:jc w:val="left"/>
              <w:rPr>
                <w:rFonts w:ascii="宋体" w:hAnsi="宋体" w:eastAsia="宋体" w:cs="宋体"/>
                <w:color w:val="000000"/>
                <w:kern w:val="0"/>
                <w:sz w:val="20"/>
                <w:szCs w:val="20"/>
              </w:rPr>
            </w:pPr>
          </w:p>
        </w:tc>
        <w:tc>
          <w:tcPr>
            <w:tcW w:w="561" w:type="pct"/>
            <w:vMerge w:val="continue"/>
            <w:tcBorders>
              <w:top w:val="single" w:color="auto" w:sz="8" w:space="0"/>
              <w:left w:val="single" w:color="auto" w:sz="4" w:space="0"/>
              <w:bottom w:val="single" w:color="auto" w:sz="8" w:space="0"/>
              <w:right w:val="single" w:color="auto" w:sz="8" w:space="0"/>
            </w:tcBorders>
            <w:tcMar>
              <w:top w:w="28" w:type="dxa"/>
              <w:left w:w="57" w:type="dxa"/>
              <w:bottom w:w="28" w:type="dxa"/>
              <w:right w:w="57" w:type="dxa"/>
            </w:tcMar>
            <w:vAlign w:val="center"/>
          </w:tcPr>
          <w:p>
            <w:pPr>
              <w:widowControl/>
              <w:spacing w:line="240" w:lineRule="exact"/>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624" w:hRule="atLeast"/>
          <w:jc w:val="center"/>
        </w:trPr>
        <w:tc>
          <w:tcPr>
            <w:tcW w:w="285" w:type="pct"/>
            <w:tcBorders>
              <w:top w:val="single" w:color="auto" w:sz="4" w:space="0"/>
              <w:left w:val="single" w:color="auto" w:sz="8"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泰州市</w:t>
            </w:r>
          </w:p>
        </w:tc>
        <w:tc>
          <w:tcPr>
            <w:tcW w:w="191"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Times New Roman" w:hAnsi="Times New Roman" w:eastAsia="宋体" w:cs="宋体"/>
                <w:color w:val="000000"/>
                <w:kern w:val="0"/>
                <w:sz w:val="20"/>
                <w:szCs w:val="20"/>
              </w:rPr>
              <w:t>1C</w:t>
            </w:r>
          </w:p>
        </w:tc>
        <w:tc>
          <w:tcPr>
            <w:tcW w:w="316"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泰州职业技术学院</w:t>
            </w:r>
          </w:p>
        </w:tc>
        <w:tc>
          <w:tcPr>
            <w:tcW w:w="230"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Times New Roman" w:hAnsi="Times New Roman" w:eastAsia="宋体" w:cs="宋体"/>
                <w:color w:val="000000"/>
                <w:kern w:val="0"/>
                <w:sz w:val="20"/>
                <w:szCs w:val="20"/>
              </w:rPr>
              <w:t>1C</w:t>
            </w:r>
            <w:r>
              <w:rPr>
                <w:rFonts w:hint="eastAsia" w:ascii="宋体" w:hAnsi="宋体" w:eastAsia="宋体" w:cs="宋体"/>
                <w:color w:val="000000"/>
                <w:kern w:val="0"/>
                <w:sz w:val="20"/>
                <w:szCs w:val="20"/>
              </w:rPr>
              <w:t>-</w:t>
            </w:r>
            <w:r>
              <w:rPr>
                <w:rFonts w:hint="eastAsia" w:ascii="Times New Roman" w:hAnsi="Times New Roman" w:eastAsia="宋体" w:cs="宋体"/>
                <w:color w:val="000000"/>
                <w:kern w:val="0"/>
                <w:sz w:val="20"/>
                <w:szCs w:val="20"/>
              </w:rPr>
              <w:t>3</w:t>
            </w:r>
          </w:p>
        </w:tc>
        <w:tc>
          <w:tcPr>
            <w:tcW w:w="369"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从事教学及科研工作</w:t>
            </w:r>
          </w:p>
        </w:tc>
        <w:tc>
          <w:tcPr>
            <w:tcW w:w="185"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Times New Roman" w:hAnsi="Times New Roman" w:eastAsia="宋体" w:cs="宋体"/>
                <w:color w:val="000000"/>
                <w:kern w:val="0"/>
                <w:sz w:val="20"/>
                <w:szCs w:val="20"/>
              </w:rPr>
              <w:t>2</w:t>
            </w:r>
          </w:p>
        </w:tc>
        <w:tc>
          <w:tcPr>
            <w:tcW w:w="323"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硕士</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研究生</w:t>
            </w:r>
          </w:p>
        </w:tc>
        <w:tc>
          <w:tcPr>
            <w:tcW w:w="672"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口腔医学类</w:t>
            </w:r>
          </w:p>
        </w:tc>
        <w:tc>
          <w:tcPr>
            <w:tcW w:w="849" w:type="pct"/>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p>
        </w:tc>
        <w:tc>
          <w:tcPr>
            <w:tcW w:w="553" w:type="pct"/>
            <w:vMerge w:val="continue"/>
            <w:tcBorders>
              <w:top w:val="single" w:color="auto" w:sz="8" w:space="0"/>
              <w:left w:val="single" w:color="auto" w:sz="4" w:space="0"/>
              <w:bottom w:val="single" w:color="auto" w:sz="8"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color w:val="000000"/>
                <w:kern w:val="0"/>
                <w:sz w:val="20"/>
                <w:szCs w:val="20"/>
              </w:rPr>
            </w:pPr>
          </w:p>
        </w:tc>
        <w:tc>
          <w:tcPr>
            <w:tcW w:w="185" w:type="pct"/>
            <w:vMerge w:val="continue"/>
            <w:tcBorders>
              <w:top w:val="single" w:color="auto" w:sz="8" w:space="0"/>
              <w:left w:val="single" w:color="auto" w:sz="4" w:space="0"/>
              <w:bottom w:val="single" w:color="auto" w:sz="8" w:space="0"/>
              <w:right w:val="single" w:color="auto" w:sz="4" w:space="0"/>
            </w:tcBorders>
            <w:tcMar>
              <w:top w:w="28" w:type="dxa"/>
              <w:left w:w="57" w:type="dxa"/>
              <w:bottom w:w="28" w:type="dxa"/>
              <w:right w:w="57" w:type="dxa"/>
            </w:tcMar>
            <w:vAlign w:val="center"/>
          </w:tcPr>
          <w:p>
            <w:pPr>
              <w:widowControl/>
              <w:spacing w:line="240" w:lineRule="exact"/>
              <w:jc w:val="left"/>
              <w:rPr>
                <w:rFonts w:ascii="宋体" w:hAnsi="宋体" w:eastAsia="宋体" w:cs="宋体"/>
                <w:color w:val="000000"/>
                <w:kern w:val="0"/>
                <w:sz w:val="20"/>
                <w:szCs w:val="20"/>
              </w:rPr>
            </w:pPr>
          </w:p>
        </w:tc>
        <w:tc>
          <w:tcPr>
            <w:tcW w:w="276" w:type="pct"/>
            <w:vMerge w:val="continue"/>
            <w:tcBorders>
              <w:top w:val="single" w:color="auto" w:sz="8" w:space="0"/>
              <w:left w:val="single" w:color="auto" w:sz="4" w:space="0"/>
              <w:bottom w:val="single" w:color="auto" w:sz="8" w:space="0"/>
              <w:right w:val="single" w:color="auto" w:sz="4" w:space="0"/>
            </w:tcBorders>
            <w:tcMar>
              <w:top w:w="28" w:type="dxa"/>
              <w:left w:w="57" w:type="dxa"/>
              <w:bottom w:w="28" w:type="dxa"/>
              <w:right w:w="57" w:type="dxa"/>
            </w:tcMar>
            <w:vAlign w:val="center"/>
          </w:tcPr>
          <w:p>
            <w:pPr>
              <w:widowControl/>
              <w:spacing w:line="240" w:lineRule="exact"/>
              <w:jc w:val="left"/>
              <w:rPr>
                <w:rFonts w:ascii="宋体" w:hAnsi="宋体" w:eastAsia="宋体" w:cs="宋体"/>
                <w:color w:val="000000"/>
                <w:kern w:val="0"/>
                <w:sz w:val="20"/>
                <w:szCs w:val="20"/>
              </w:rPr>
            </w:pPr>
          </w:p>
        </w:tc>
        <w:tc>
          <w:tcPr>
            <w:tcW w:w="561" w:type="pct"/>
            <w:vMerge w:val="continue"/>
            <w:tcBorders>
              <w:top w:val="single" w:color="auto" w:sz="8" w:space="0"/>
              <w:left w:val="single" w:color="auto" w:sz="4" w:space="0"/>
              <w:bottom w:val="single" w:color="auto" w:sz="8" w:space="0"/>
              <w:right w:val="single" w:color="auto" w:sz="8" w:space="0"/>
            </w:tcBorders>
            <w:tcMar>
              <w:top w:w="28" w:type="dxa"/>
              <w:left w:w="57" w:type="dxa"/>
              <w:bottom w:w="28" w:type="dxa"/>
              <w:right w:w="57" w:type="dxa"/>
            </w:tcMar>
            <w:vAlign w:val="center"/>
          </w:tcPr>
          <w:p>
            <w:pPr>
              <w:widowControl/>
              <w:spacing w:line="240" w:lineRule="exact"/>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624" w:hRule="atLeast"/>
          <w:jc w:val="center"/>
        </w:trPr>
        <w:tc>
          <w:tcPr>
            <w:tcW w:w="285" w:type="pct"/>
            <w:tcBorders>
              <w:top w:val="single" w:color="auto" w:sz="4" w:space="0"/>
              <w:left w:val="single" w:color="auto" w:sz="8"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泰州市</w:t>
            </w:r>
          </w:p>
        </w:tc>
        <w:tc>
          <w:tcPr>
            <w:tcW w:w="191"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Times New Roman" w:hAnsi="Times New Roman" w:eastAsia="宋体" w:cs="宋体"/>
                <w:color w:val="000000"/>
                <w:kern w:val="0"/>
                <w:sz w:val="20"/>
                <w:szCs w:val="20"/>
              </w:rPr>
              <w:t>1C</w:t>
            </w:r>
          </w:p>
        </w:tc>
        <w:tc>
          <w:tcPr>
            <w:tcW w:w="316"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泰州职业技术学院</w:t>
            </w:r>
          </w:p>
        </w:tc>
        <w:tc>
          <w:tcPr>
            <w:tcW w:w="230"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Times New Roman" w:hAnsi="Times New Roman" w:eastAsia="宋体" w:cs="宋体"/>
                <w:color w:val="000000"/>
                <w:kern w:val="0"/>
                <w:sz w:val="20"/>
                <w:szCs w:val="20"/>
              </w:rPr>
              <w:t>1C</w:t>
            </w:r>
            <w:r>
              <w:rPr>
                <w:rFonts w:hint="eastAsia" w:ascii="宋体" w:hAnsi="宋体" w:eastAsia="宋体" w:cs="宋体"/>
                <w:color w:val="000000"/>
                <w:kern w:val="0"/>
                <w:sz w:val="20"/>
                <w:szCs w:val="20"/>
              </w:rPr>
              <w:t>-</w:t>
            </w:r>
            <w:r>
              <w:rPr>
                <w:rFonts w:hint="eastAsia" w:ascii="Times New Roman" w:hAnsi="Times New Roman" w:eastAsia="宋体" w:cs="宋体"/>
                <w:color w:val="000000"/>
                <w:kern w:val="0"/>
                <w:sz w:val="20"/>
                <w:szCs w:val="20"/>
              </w:rPr>
              <w:t>4</w:t>
            </w:r>
          </w:p>
        </w:tc>
        <w:tc>
          <w:tcPr>
            <w:tcW w:w="369"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从事教学及科研工作</w:t>
            </w:r>
          </w:p>
        </w:tc>
        <w:tc>
          <w:tcPr>
            <w:tcW w:w="185"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Times New Roman" w:hAnsi="Times New Roman" w:eastAsia="宋体" w:cs="宋体"/>
                <w:color w:val="000000"/>
                <w:kern w:val="0"/>
                <w:sz w:val="20"/>
                <w:szCs w:val="20"/>
              </w:rPr>
              <w:t>1</w:t>
            </w:r>
          </w:p>
        </w:tc>
        <w:tc>
          <w:tcPr>
            <w:tcW w:w="323"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硕士</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研究生</w:t>
            </w:r>
          </w:p>
        </w:tc>
        <w:tc>
          <w:tcPr>
            <w:tcW w:w="672"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护理类</w:t>
            </w:r>
          </w:p>
        </w:tc>
        <w:tc>
          <w:tcPr>
            <w:tcW w:w="849" w:type="pct"/>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p>
        </w:tc>
        <w:tc>
          <w:tcPr>
            <w:tcW w:w="553" w:type="pct"/>
            <w:vMerge w:val="continue"/>
            <w:tcBorders>
              <w:top w:val="single" w:color="auto" w:sz="8" w:space="0"/>
              <w:left w:val="single" w:color="auto" w:sz="4" w:space="0"/>
              <w:bottom w:val="single" w:color="auto" w:sz="8"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color w:val="000000"/>
                <w:kern w:val="0"/>
                <w:sz w:val="20"/>
                <w:szCs w:val="20"/>
              </w:rPr>
            </w:pPr>
          </w:p>
        </w:tc>
        <w:tc>
          <w:tcPr>
            <w:tcW w:w="185" w:type="pct"/>
            <w:vMerge w:val="continue"/>
            <w:tcBorders>
              <w:top w:val="single" w:color="auto" w:sz="8" w:space="0"/>
              <w:left w:val="single" w:color="auto" w:sz="4" w:space="0"/>
              <w:bottom w:val="single" w:color="auto" w:sz="8" w:space="0"/>
              <w:right w:val="single" w:color="auto" w:sz="4" w:space="0"/>
            </w:tcBorders>
            <w:tcMar>
              <w:top w:w="28" w:type="dxa"/>
              <w:left w:w="57" w:type="dxa"/>
              <w:bottom w:w="28" w:type="dxa"/>
              <w:right w:w="57" w:type="dxa"/>
            </w:tcMar>
            <w:vAlign w:val="center"/>
          </w:tcPr>
          <w:p>
            <w:pPr>
              <w:widowControl/>
              <w:spacing w:line="240" w:lineRule="exact"/>
              <w:jc w:val="left"/>
              <w:rPr>
                <w:rFonts w:ascii="宋体" w:hAnsi="宋体" w:eastAsia="宋体" w:cs="宋体"/>
                <w:color w:val="000000"/>
                <w:kern w:val="0"/>
                <w:sz w:val="20"/>
                <w:szCs w:val="20"/>
              </w:rPr>
            </w:pPr>
          </w:p>
        </w:tc>
        <w:tc>
          <w:tcPr>
            <w:tcW w:w="276" w:type="pct"/>
            <w:vMerge w:val="continue"/>
            <w:tcBorders>
              <w:top w:val="single" w:color="auto" w:sz="8" w:space="0"/>
              <w:left w:val="single" w:color="auto" w:sz="4" w:space="0"/>
              <w:bottom w:val="single" w:color="auto" w:sz="8" w:space="0"/>
              <w:right w:val="single" w:color="auto" w:sz="4" w:space="0"/>
            </w:tcBorders>
            <w:tcMar>
              <w:top w:w="28" w:type="dxa"/>
              <w:left w:w="57" w:type="dxa"/>
              <w:bottom w:w="28" w:type="dxa"/>
              <w:right w:w="57" w:type="dxa"/>
            </w:tcMar>
            <w:vAlign w:val="center"/>
          </w:tcPr>
          <w:p>
            <w:pPr>
              <w:widowControl/>
              <w:spacing w:line="240" w:lineRule="exact"/>
              <w:jc w:val="left"/>
              <w:rPr>
                <w:rFonts w:ascii="宋体" w:hAnsi="宋体" w:eastAsia="宋体" w:cs="宋体"/>
                <w:color w:val="000000"/>
                <w:kern w:val="0"/>
                <w:sz w:val="20"/>
                <w:szCs w:val="20"/>
              </w:rPr>
            </w:pPr>
          </w:p>
        </w:tc>
        <w:tc>
          <w:tcPr>
            <w:tcW w:w="561" w:type="pct"/>
            <w:vMerge w:val="continue"/>
            <w:tcBorders>
              <w:top w:val="single" w:color="auto" w:sz="8" w:space="0"/>
              <w:left w:val="single" w:color="auto" w:sz="4" w:space="0"/>
              <w:bottom w:val="single" w:color="auto" w:sz="8" w:space="0"/>
              <w:right w:val="single" w:color="auto" w:sz="8" w:space="0"/>
            </w:tcBorders>
            <w:tcMar>
              <w:top w:w="28" w:type="dxa"/>
              <w:left w:w="57" w:type="dxa"/>
              <w:bottom w:w="28" w:type="dxa"/>
              <w:right w:w="57" w:type="dxa"/>
            </w:tcMar>
            <w:vAlign w:val="center"/>
          </w:tcPr>
          <w:p>
            <w:pPr>
              <w:widowControl/>
              <w:spacing w:line="240" w:lineRule="exact"/>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624" w:hRule="atLeast"/>
          <w:jc w:val="center"/>
        </w:trPr>
        <w:tc>
          <w:tcPr>
            <w:tcW w:w="285" w:type="pct"/>
            <w:tcBorders>
              <w:top w:val="single" w:color="auto" w:sz="4" w:space="0"/>
              <w:left w:val="single" w:color="auto" w:sz="8"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泰州市</w:t>
            </w:r>
          </w:p>
        </w:tc>
        <w:tc>
          <w:tcPr>
            <w:tcW w:w="191"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Times New Roman" w:hAnsi="Times New Roman" w:eastAsia="宋体" w:cs="宋体"/>
                <w:color w:val="000000"/>
                <w:kern w:val="0"/>
                <w:sz w:val="20"/>
                <w:szCs w:val="20"/>
              </w:rPr>
              <w:t>1C</w:t>
            </w:r>
          </w:p>
        </w:tc>
        <w:tc>
          <w:tcPr>
            <w:tcW w:w="316"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泰州职业技术学院</w:t>
            </w:r>
          </w:p>
        </w:tc>
        <w:tc>
          <w:tcPr>
            <w:tcW w:w="230"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Times New Roman" w:hAnsi="Times New Roman" w:eastAsia="宋体" w:cs="宋体"/>
                <w:color w:val="000000"/>
                <w:kern w:val="0"/>
                <w:sz w:val="20"/>
                <w:szCs w:val="20"/>
              </w:rPr>
              <w:t>1C</w:t>
            </w:r>
            <w:r>
              <w:rPr>
                <w:rFonts w:hint="eastAsia" w:ascii="宋体" w:hAnsi="宋体" w:eastAsia="宋体" w:cs="宋体"/>
                <w:color w:val="000000"/>
                <w:kern w:val="0"/>
                <w:sz w:val="20"/>
                <w:szCs w:val="20"/>
              </w:rPr>
              <w:t>-</w:t>
            </w:r>
            <w:r>
              <w:rPr>
                <w:rFonts w:hint="eastAsia" w:ascii="Times New Roman" w:hAnsi="Times New Roman" w:eastAsia="宋体" w:cs="宋体"/>
                <w:color w:val="000000"/>
                <w:kern w:val="0"/>
                <w:sz w:val="20"/>
                <w:szCs w:val="20"/>
              </w:rPr>
              <w:t>5</w:t>
            </w:r>
          </w:p>
        </w:tc>
        <w:tc>
          <w:tcPr>
            <w:tcW w:w="369"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从事教学及科研工作</w:t>
            </w:r>
          </w:p>
        </w:tc>
        <w:tc>
          <w:tcPr>
            <w:tcW w:w="185"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Times New Roman" w:hAnsi="Times New Roman" w:eastAsia="宋体" w:cs="宋体"/>
                <w:color w:val="000000"/>
                <w:kern w:val="0"/>
                <w:sz w:val="20"/>
                <w:szCs w:val="20"/>
              </w:rPr>
              <w:t>2</w:t>
            </w:r>
          </w:p>
        </w:tc>
        <w:tc>
          <w:tcPr>
            <w:tcW w:w="323"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硕士</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研究生</w:t>
            </w:r>
          </w:p>
        </w:tc>
        <w:tc>
          <w:tcPr>
            <w:tcW w:w="672"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信息工程类</w:t>
            </w:r>
          </w:p>
        </w:tc>
        <w:tc>
          <w:tcPr>
            <w:tcW w:w="849" w:type="pct"/>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p>
        </w:tc>
        <w:tc>
          <w:tcPr>
            <w:tcW w:w="553" w:type="pct"/>
            <w:vMerge w:val="continue"/>
            <w:tcBorders>
              <w:top w:val="single" w:color="auto" w:sz="8" w:space="0"/>
              <w:left w:val="single" w:color="auto" w:sz="4" w:space="0"/>
              <w:bottom w:val="single" w:color="auto" w:sz="8"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color w:val="000000"/>
                <w:kern w:val="0"/>
                <w:sz w:val="20"/>
                <w:szCs w:val="20"/>
              </w:rPr>
            </w:pPr>
          </w:p>
        </w:tc>
        <w:tc>
          <w:tcPr>
            <w:tcW w:w="185" w:type="pct"/>
            <w:vMerge w:val="continue"/>
            <w:tcBorders>
              <w:top w:val="single" w:color="auto" w:sz="8" w:space="0"/>
              <w:left w:val="single" w:color="auto" w:sz="4" w:space="0"/>
              <w:bottom w:val="single" w:color="auto" w:sz="8" w:space="0"/>
              <w:right w:val="single" w:color="auto" w:sz="4" w:space="0"/>
            </w:tcBorders>
            <w:tcMar>
              <w:top w:w="28" w:type="dxa"/>
              <w:left w:w="57" w:type="dxa"/>
              <w:bottom w:w="28" w:type="dxa"/>
              <w:right w:w="57" w:type="dxa"/>
            </w:tcMar>
            <w:vAlign w:val="center"/>
          </w:tcPr>
          <w:p>
            <w:pPr>
              <w:widowControl/>
              <w:spacing w:line="240" w:lineRule="exact"/>
              <w:jc w:val="left"/>
              <w:rPr>
                <w:rFonts w:ascii="宋体" w:hAnsi="宋体" w:eastAsia="宋体" w:cs="宋体"/>
                <w:color w:val="000000"/>
                <w:kern w:val="0"/>
                <w:sz w:val="20"/>
                <w:szCs w:val="20"/>
              </w:rPr>
            </w:pPr>
          </w:p>
        </w:tc>
        <w:tc>
          <w:tcPr>
            <w:tcW w:w="276" w:type="pct"/>
            <w:vMerge w:val="continue"/>
            <w:tcBorders>
              <w:top w:val="single" w:color="auto" w:sz="8" w:space="0"/>
              <w:left w:val="single" w:color="auto" w:sz="4" w:space="0"/>
              <w:bottom w:val="single" w:color="auto" w:sz="8" w:space="0"/>
              <w:right w:val="single" w:color="auto" w:sz="4" w:space="0"/>
            </w:tcBorders>
            <w:tcMar>
              <w:top w:w="28" w:type="dxa"/>
              <w:left w:w="57" w:type="dxa"/>
              <w:bottom w:w="28" w:type="dxa"/>
              <w:right w:w="57" w:type="dxa"/>
            </w:tcMar>
            <w:vAlign w:val="center"/>
          </w:tcPr>
          <w:p>
            <w:pPr>
              <w:widowControl/>
              <w:spacing w:line="240" w:lineRule="exact"/>
              <w:jc w:val="left"/>
              <w:rPr>
                <w:rFonts w:ascii="宋体" w:hAnsi="宋体" w:eastAsia="宋体" w:cs="宋体"/>
                <w:color w:val="000000"/>
                <w:kern w:val="0"/>
                <w:sz w:val="20"/>
                <w:szCs w:val="20"/>
              </w:rPr>
            </w:pPr>
          </w:p>
        </w:tc>
        <w:tc>
          <w:tcPr>
            <w:tcW w:w="561" w:type="pct"/>
            <w:vMerge w:val="continue"/>
            <w:tcBorders>
              <w:top w:val="single" w:color="auto" w:sz="8" w:space="0"/>
              <w:left w:val="single" w:color="auto" w:sz="4" w:space="0"/>
              <w:bottom w:val="single" w:color="auto" w:sz="8" w:space="0"/>
              <w:right w:val="single" w:color="auto" w:sz="8" w:space="0"/>
            </w:tcBorders>
            <w:tcMar>
              <w:top w:w="28" w:type="dxa"/>
              <w:left w:w="57" w:type="dxa"/>
              <w:bottom w:w="28" w:type="dxa"/>
              <w:right w:w="57" w:type="dxa"/>
            </w:tcMar>
            <w:vAlign w:val="center"/>
          </w:tcPr>
          <w:p>
            <w:pPr>
              <w:widowControl/>
              <w:spacing w:line="240" w:lineRule="exact"/>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624" w:hRule="atLeast"/>
          <w:jc w:val="center"/>
        </w:trPr>
        <w:tc>
          <w:tcPr>
            <w:tcW w:w="285" w:type="pct"/>
            <w:tcBorders>
              <w:top w:val="single" w:color="auto" w:sz="4" w:space="0"/>
              <w:left w:val="single" w:color="auto" w:sz="8"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泰州市</w:t>
            </w:r>
          </w:p>
        </w:tc>
        <w:tc>
          <w:tcPr>
            <w:tcW w:w="191"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Times New Roman" w:hAnsi="Times New Roman" w:eastAsia="宋体" w:cs="宋体"/>
                <w:color w:val="000000"/>
                <w:kern w:val="0"/>
                <w:sz w:val="20"/>
                <w:szCs w:val="20"/>
              </w:rPr>
              <w:t>1C</w:t>
            </w:r>
          </w:p>
        </w:tc>
        <w:tc>
          <w:tcPr>
            <w:tcW w:w="316"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泰州职业技术学院</w:t>
            </w:r>
          </w:p>
        </w:tc>
        <w:tc>
          <w:tcPr>
            <w:tcW w:w="230"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Times New Roman" w:hAnsi="Times New Roman" w:eastAsia="宋体" w:cs="宋体"/>
                <w:color w:val="000000"/>
                <w:kern w:val="0"/>
                <w:sz w:val="20"/>
                <w:szCs w:val="20"/>
              </w:rPr>
              <w:t>1C</w:t>
            </w:r>
            <w:r>
              <w:rPr>
                <w:rFonts w:hint="eastAsia" w:ascii="宋体" w:hAnsi="宋体" w:eastAsia="宋体" w:cs="宋体"/>
                <w:color w:val="000000"/>
                <w:kern w:val="0"/>
                <w:sz w:val="20"/>
                <w:szCs w:val="20"/>
              </w:rPr>
              <w:t>-</w:t>
            </w:r>
            <w:r>
              <w:rPr>
                <w:rFonts w:hint="eastAsia" w:ascii="Times New Roman" w:hAnsi="Times New Roman" w:eastAsia="宋体" w:cs="宋体"/>
                <w:color w:val="000000"/>
                <w:kern w:val="0"/>
                <w:sz w:val="20"/>
                <w:szCs w:val="20"/>
              </w:rPr>
              <w:t>6</w:t>
            </w:r>
          </w:p>
        </w:tc>
        <w:tc>
          <w:tcPr>
            <w:tcW w:w="369"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从事教学及科研工作</w:t>
            </w:r>
          </w:p>
        </w:tc>
        <w:tc>
          <w:tcPr>
            <w:tcW w:w="185"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Times New Roman" w:hAnsi="Times New Roman" w:eastAsia="宋体" w:cs="宋体"/>
                <w:color w:val="000000"/>
                <w:kern w:val="0"/>
                <w:sz w:val="20"/>
                <w:szCs w:val="20"/>
              </w:rPr>
              <w:t>2</w:t>
            </w:r>
          </w:p>
        </w:tc>
        <w:tc>
          <w:tcPr>
            <w:tcW w:w="323"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硕士</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研究生</w:t>
            </w:r>
          </w:p>
        </w:tc>
        <w:tc>
          <w:tcPr>
            <w:tcW w:w="672"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广告设计、艺术设计类</w:t>
            </w:r>
          </w:p>
        </w:tc>
        <w:tc>
          <w:tcPr>
            <w:tcW w:w="849" w:type="pct"/>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p>
        </w:tc>
        <w:tc>
          <w:tcPr>
            <w:tcW w:w="553" w:type="pct"/>
            <w:vMerge w:val="continue"/>
            <w:tcBorders>
              <w:top w:val="single" w:color="auto" w:sz="8" w:space="0"/>
              <w:left w:val="single" w:color="auto" w:sz="4" w:space="0"/>
              <w:bottom w:val="single" w:color="auto" w:sz="8"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color w:val="000000"/>
                <w:kern w:val="0"/>
                <w:sz w:val="20"/>
                <w:szCs w:val="20"/>
              </w:rPr>
            </w:pPr>
          </w:p>
        </w:tc>
        <w:tc>
          <w:tcPr>
            <w:tcW w:w="185" w:type="pct"/>
            <w:vMerge w:val="continue"/>
            <w:tcBorders>
              <w:top w:val="single" w:color="auto" w:sz="8" w:space="0"/>
              <w:left w:val="single" w:color="auto" w:sz="4" w:space="0"/>
              <w:bottom w:val="single" w:color="auto" w:sz="8" w:space="0"/>
              <w:right w:val="single" w:color="auto" w:sz="4" w:space="0"/>
            </w:tcBorders>
            <w:tcMar>
              <w:top w:w="28" w:type="dxa"/>
              <w:left w:w="57" w:type="dxa"/>
              <w:bottom w:w="28" w:type="dxa"/>
              <w:right w:w="57" w:type="dxa"/>
            </w:tcMar>
            <w:vAlign w:val="center"/>
          </w:tcPr>
          <w:p>
            <w:pPr>
              <w:widowControl/>
              <w:spacing w:line="240" w:lineRule="exact"/>
              <w:jc w:val="left"/>
              <w:rPr>
                <w:rFonts w:ascii="宋体" w:hAnsi="宋体" w:eastAsia="宋体" w:cs="宋体"/>
                <w:color w:val="000000"/>
                <w:kern w:val="0"/>
                <w:sz w:val="20"/>
                <w:szCs w:val="20"/>
              </w:rPr>
            </w:pPr>
          </w:p>
        </w:tc>
        <w:tc>
          <w:tcPr>
            <w:tcW w:w="276" w:type="pct"/>
            <w:vMerge w:val="continue"/>
            <w:tcBorders>
              <w:top w:val="single" w:color="auto" w:sz="8" w:space="0"/>
              <w:left w:val="single" w:color="auto" w:sz="4" w:space="0"/>
              <w:bottom w:val="single" w:color="auto" w:sz="8" w:space="0"/>
              <w:right w:val="single" w:color="auto" w:sz="4" w:space="0"/>
            </w:tcBorders>
            <w:tcMar>
              <w:top w:w="28" w:type="dxa"/>
              <w:left w:w="57" w:type="dxa"/>
              <w:bottom w:w="28" w:type="dxa"/>
              <w:right w:w="57" w:type="dxa"/>
            </w:tcMar>
            <w:vAlign w:val="center"/>
          </w:tcPr>
          <w:p>
            <w:pPr>
              <w:widowControl/>
              <w:spacing w:line="240" w:lineRule="exact"/>
              <w:jc w:val="left"/>
              <w:rPr>
                <w:rFonts w:ascii="宋体" w:hAnsi="宋体" w:eastAsia="宋体" w:cs="宋体"/>
                <w:color w:val="000000"/>
                <w:kern w:val="0"/>
                <w:sz w:val="20"/>
                <w:szCs w:val="20"/>
              </w:rPr>
            </w:pPr>
          </w:p>
        </w:tc>
        <w:tc>
          <w:tcPr>
            <w:tcW w:w="561" w:type="pct"/>
            <w:vMerge w:val="continue"/>
            <w:tcBorders>
              <w:top w:val="single" w:color="auto" w:sz="8" w:space="0"/>
              <w:left w:val="single" w:color="auto" w:sz="4" w:space="0"/>
              <w:bottom w:val="single" w:color="auto" w:sz="8" w:space="0"/>
              <w:right w:val="single" w:color="auto" w:sz="8" w:space="0"/>
            </w:tcBorders>
            <w:tcMar>
              <w:top w:w="28" w:type="dxa"/>
              <w:left w:w="57" w:type="dxa"/>
              <w:bottom w:w="28" w:type="dxa"/>
              <w:right w:w="57" w:type="dxa"/>
            </w:tcMar>
            <w:vAlign w:val="center"/>
          </w:tcPr>
          <w:p>
            <w:pPr>
              <w:widowControl/>
              <w:spacing w:line="240" w:lineRule="exact"/>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624" w:hRule="atLeast"/>
          <w:jc w:val="center"/>
        </w:trPr>
        <w:tc>
          <w:tcPr>
            <w:tcW w:w="285" w:type="pct"/>
            <w:tcBorders>
              <w:top w:val="single" w:color="auto" w:sz="4" w:space="0"/>
              <w:left w:val="single" w:color="auto" w:sz="8"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泰州市</w:t>
            </w:r>
          </w:p>
        </w:tc>
        <w:tc>
          <w:tcPr>
            <w:tcW w:w="191"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Times New Roman" w:hAnsi="Times New Roman" w:eastAsia="宋体" w:cs="宋体"/>
                <w:color w:val="000000"/>
                <w:kern w:val="0"/>
                <w:sz w:val="20"/>
                <w:szCs w:val="20"/>
              </w:rPr>
              <w:t>1C</w:t>
            </w:r>
          </w:p>
        </w:tc>
        <w:tc>
          <w:tcPr>
            <w:tcW w:w="316"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泰州职业技术学院</w:t>
            </w:r>
          </w:p>
        </w:tc>
        <w:tc>
          <w:tcPr>
            <w:tcW w:w="230"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Times New Roman" w:hAnsi="Times New Roman" w:eastAsia="宋体" w:cs="宋体"/>
                <w:color w:val="000000"/>
                <w:kern w:val="0"/>
                <w:sz w:val="20"/>
                <w:szCs w:val="20"/>
              </w:rPr>
              <w:t>1C</w:t>
            </w:r>
            <w:r>
              <w:rPr>
                <w:rFonts w:hint="eastAsia" w:ascii="宋体" w:hAnsi="宋体" w:eastAsia="宋体" w:cs="宋体"/>
                <w:color w:val="000000"/>
                <w:kern w:val="0"/>
                <w:sz w:val="20"/>
                <w:szCs w:val="20"/>
              </w:rPr>
              <w:t>-</w:t>
            </w:r>
            <w:r>
              <w:rPr>
                <w:rFonts w:hint="eastAsia" w:ascii="Times New Roman" w:hAnsi="Times New Roman" w:eastAsia="宋体" w:cs="宋体"/>
                <w:color w:val="000000"/>
                <w:kern w:val="0"/>
                <w:sz w:val="20"/>
                <w:szCs w:val="20"/>
              </w:rPr>
              <w:t>7</w:t>
            </w:r>
          </w:p>
        </w:tc>
        <w:tc>
          <w:tcPr>
            <w:tcW w:w="369"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从事教学及科研工作</w:t>
            </w:r>
          </w:p>
        </w:tc>
        <w:tc>
          <w:tcPr>
            <w:tcW w:w="185"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Times New Roman" w:hAnsi="Times New Roman" w:eastAsia="宋体" w:cs="宋体"/>
                <w:color w:val="000000"/>
                <w:kern w:val="0"/>
                <w:sz w:val="20"/>
                <w:szCs w:val="20"/>
              </w:rPr>
              <w:t>2</w:t>
            </w:r>
          </w:p>
        </w:tc>
        <w:tc>
          <w:tcPr>
            <w:tcW w:w="323"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硕士</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研究生</w:t>
            </w:r>
          </w:p>
        </w:tc>
        <w:tc>
          <w:tcPr>
            <w:tcW w:w="672"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药物制剂类、中药类</w:t>
            </w:r>
          </w:p>
        </w:tc>
        <w:tc>
          <w:tcPr>
            <w:tcW w:w="849" w:type="pct"/>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p>
        </w:tc>
        <w:tc>
          <w:tcPr>
            <w:tcW w:w="553" w:type="pct"/>
            <w:vMerge w:val="continue"/>
            <w:tcBorders>
              <w:top w:val="single" w:color="auto" w:sz="8" w:space="0"/>
              <w:left w:val="single" w:color="auto" w:sz="4" w:space="0"/>
              <w:bottom w:val="single" w:color="auto" w:sz="8"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color w:val="000000"/>
                <w:kern w:val="0"/>
                <w:sz w:val="20"/>
                <w:szCs w:val="20"/>
              </w:rPr>
            </w:pPr>
          </w:p>
        </w:tc>
        <w:tc>
          <w:tcPr>
            <w:tcW w:w="185" w:type="pct"/>
            <w:vMerge w:val="continue"/>
            <w:tcBorders>
              <w:top w:val="single" w:color="auto" w:sz="8" w:space="0"/>
              <w:left w:val="single" w:color="auto" w:sz="4" w:space="0"/>
              <w:bottom w:val="single" w:color="auto" w:sz="8" w:space="0"/>
              <w:right w:val="single" w:color="auto" w:sz="4" w:space="0"/>
            </w:tcBorders>
            <w:tcMar>
              <w:top w:w="28" w:type="dxa"/>
              <w:left w:w="57" w:type="dxa"/>
              <w:bottom w:w="28" w:type="dxa"/>
              <w:right w:w="57" w:type="dxa"/>
            </w:tcMar>
            <w:vAlign w:val="center"/>
          </w:tcPr>
          <w:p>
            <w:pPr>
              <w:widowControl/>
              <w:spacing w:line="240" w:lineRule="exact"/>
              <w:jc w:val="left"/>
              <w:rPr>
                <w:rFonts w:ascii="宋体" w:hAnsi="宋体" w:eastAsia="宋体" w:cs="宋体"/>
                <w:color w:val="000000"/>
                <w:kern w:val="0"/>
                <w:sz w:val="20"/>
                <w:szCs w:val="20"/>
              </w:rPr>
            </w:pPr>
          </w:p>
        </w:tc>
        <w:tc>
          <w:tcPr>
            <w:tcW w:w="276" w:type="pct"/>
            <w:vMerge w:val="continue"/>
            <w:tcBorders>
              <w:top w:val="single" w:color="auto" w:sz="8" w:space="0"/>
              <w:left w:val="single" w:color="auto" w:sz="4" w:space="0"/>
              <w:bottom w:val="single" w:color="auto" w:sz="8" w:space="0"/>
              <w:right w:val="single" w:color="auto" w:sz="4" w:space="0"/>
            </w:tcBorders>
            <w:tcMar>
              <w:top w:w="28" w:type="dxa"/>
              <w:left w:w="57" w:type="dxa"/>
              <w:bottom w:w="28" w:type="dxa"/>
              <w:right w:w="57" w:type="dxa"/>
            </w:tcMar>
            <w:vAlign w:val="center"/>
          </w:tcPr>
          <w:p>
            <w:pPr>
              <w:widowControl/>
              <w:spacing w:line="240" w:lineRule="exact"/>
              <w:jc w:val="left"/>
              <w:rPr>
                <w:rFonts w:ascii="宋体" w:hAnsi="宋体" w:eastAsia="宋体" w:cs="宋体"/>
                <w:color w:val="000000"/>
                <w:kern w:val="0"/>
                <w:sz w:val="20"/>
                <w:szCs w:val="20"/>
              </w:rPr>
            </w:pPr>
          </w:p>
        </w:tc>
        <w:tc>
          <w:tcPr>
            <w:tcW w:w="561" w:type="pct"/>
            <w:vMerge w:val="continue"/>
            <w:tcBorders>
              <w:top w:val="single" w:color="auto" w:sz="8" w:space="0"/>
              <w:left w:val="single" w:color="auto" w:sz="4" w:space="0"/>
              <w:bottom w:val="single" w:color="auto" w:sz="8" w:space="0"/>
              <w:right w:val="single" w:color="auto" w:sz="8" w:space="0"/>
            </w:tcBorders>
            <w:tcMar>
              <w:top w:w="28" w:type="dxa"/>
              <w:left w:w="57" w:type="dxa"/>
              <w:bottom w:w="28" w:type="dxa"/>
              <w:right w:w="57" w:type="dxa"/>
            </w:tcMar>
            <w:vAlign w:val="center"/>
          </w:tcPr>
          <w:p>
            <w:pPr>
              <w:widowControl/>
              <w:spacing w:line="240" w:lineRule="exact"/>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624" w:hRule="atLeast"/>
          <w:jc w:val="center"/>
        </w:trPr>
        <w:tc>
          <w:tcPr>
            <w:tcW w:w="285" w:type="pct"/>
            <w:tcBorders>
              <w:top w:val="single" w:color="auto" w:sz="4" w:space="0"/>
              <w:left w:val="single" w:color="auto" w:sz="8"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泰州市</w:t>
            </w:r>
          </w:p>
        </w:tc>
        <w:tc>
          <w:tcPr>
            <w:tcW w:w="191"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Times New Roman" w:hAnsi="Times New Roman" w:eastAsia="宋体" w:cs="宋体"/>
                <w:color w:val="000000"/>
                <w:kern w:val="0"/>
                <w:sz w:val="20"/>
                <w:szCs w:val="20"/>
              </w:rPr>
              <w:t>1C</w:t>
            </w:r>
          </w:p>
        </w:tc>
        <w:tc>
          <w:tcPr>
            <w:tcW w:w="316"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泰州职业技术学院</w:t>
            </w:r>
          </w:p>
        </w:tc>
        <w:tc>
          <w:tcPr>
            <w:tcW w:w="230"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Times New Roman" w:hAnsi="Times New Roman" w:eastAsia="宋体" w:cs="宋体"/>
                <w:color w:val="000000"/>
                <w:kern w:val="0"/>
                <w:sz w:val="20"/>
                <w:szCs w:val="20"/>
              </w:rPr>
              <w:t>1C</w:t>
            </w:r>
            <w:r>
              <w:rPr>
                <w:rFonts w:hint="eastAsia" w:ascii="宋体" w:hAnsi="宋体" w:eastAsia="宋体" w:cs="宋体"/>
                <w:color w:val="000000"/>
                <w:kern w:val="0"/>
                <w:sz w:val="20"/>
                <w:szCs w:val="20"/>
              </w:rPr>
              <w:t>-</w:t>
            </w:r>
            <w:r>
              <w:rPr>
                <w:rFonts w:hint="eastAsia" w:ascii="Times New Roman" w:hAnsi="Times New Roman" w:eastAsia="宋体" w:cs="宋体"/>
                <w:color w:val="000000"/>
                <w:kern w:val="0"/>
                <w:sz w:val="20"/>
                <w:szCs w:val="20"/>
              </w:rPr>
              <w:t>8</w:t>
            </w:r>
          </w:p>
        </w:tc>
        <w:tc>
          <w:tcPr>
            <w:tcW w:w="369"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从事教学及科研工作</w:t>
            </w:r>
          </w:p>
        </w:tc>
        <w:tc>
          <w:tcPr>
            <w:tcW w:w="185"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Times New Roman" w:hAnsi="Times New Roman" w:eastAsia="宋体" w:cs="宋体"/>
                <w:color w:val="000000"/>
                <w:kern w:val="0"/>
                <w:sz w:val="20"/>
                <w:szCs w:val="20"/>
              </w:rPr>
              <w:t>2</w:t>
            </w:r>
          </w:p>
        </w:tc>
        <w:tc>
          <w:tcPr>
            <w:tcW w:w="323"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硕士</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研究生</w:t>
            </w:r>
          </w:p>
        </w:tc>
        <w:tc>
          <w:tcPr>
            <w:tcW w:w="672"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英语类</w:t>
            </w:r>
          </w:p>
        </w:tc>
        <w:tc>
          <w:tcPr>
            <w:tcW w:w="849" w:type="pct"/>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p>
        </w:tc>
        <w:tc>
          <w:tcPr>
            <w:tcW w:w="553" w:type="pct"/>
            <w:vMerge w:val="continue"/>
            <w:tcBorders>
              <w:top w:val="single" w:color="auto" w:sz="8" w:space="0"/>
              <w:left w:val="single" w:color="auto" w:sz="4" w:space="0"/>
              <w:bottom w:val="single" w:color="auto" w:sz="8"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color w:val="000000"/>
                <w:kern w:val="0"/>
                <w:sz w:val="20"/>
                <w:szCs w:val="20"/>
              </w:rPr>
            </w:pPr>
          </w:p>
        </w:tc>
        <w:tc>
          <w:tcPr>
            <w:tcW w:w="185" w:type="pct"/>
            <w:vMerge w:val="continue"/>
            <w:tcBorders>
              <w:top w:val="single" w:color="auto" w:sz="8" w:space="0"/>
              <w:left w:val="single" w:color="auto" w:sz="4" w:space="0"/>
              <w:bottom w:val="single" w:color="auto" w:sz="8" w:space="0"/>
              <w:right w:val="single" w:color="auto" w:sz="4" w:space="0"/>
            </w:tcBorders>
            <w:tcMar>
              <w:top w:w="28" w:type="dxa"/>
              <w:left w:w="57" w:type="dxa"/>
              <w:bottom w:w="28" w:type="dxa"/>
              <w:right w:w="57" w:type="dxa"/>
            </w:tcMar>
            <w:vAlign w:val="center"/>
          </w:tcPr>
          <w:p>
            <w:pPr>
              <w:widowControl/>
              <w:spacing w:line="240" w:lineRule="exact"/>
              <w:jc w:val="left"/>
              <w:rPr>
                <w:rFonts w:ascii="宋体" w:hAnsi="宋体" w:eastAsia="宋体" w:cs="宋体"/>
                <w:color w:val="000000"/>
                <w:kern w:val="0"/>
                <w:sz w:val="20"/>
                <w:szCs w:val="20"/>
              </w:rPr>
            </w:pPr>
          </w:p>
        </w:tc>
        <w:tc>
          <w:tcPr>
            <w:tcW w:w="276" w:type="pct"/>
            <w:vMerge w:val="continue"/>
            <w:tcBorders>
              <w:top w:val="single" w:color="auto" w:sz="8" w:space="0"/>
              <w:left w:val="single" w:color="auto" w:sz="4" w:space="0"/>
              <w:bottom w:val="single" w:color="auto" w:sz="8" w:space="0"/>
              <w:right w:val="single" w:color="auto" w:sz="4" w:space="0"/>
            </w:tcBorders>
            <w:tcMar>
              <w:top w:w="28" w:type="dxa"/>
              <w:left w:w="57" w:type="dxa"/>
              <w:bottom w:w="28" w:type="dxa"/>
              <w:right w:w="57" w:type="dxa"/>
            </w:tcMar>
            <w:vAlign w:val="center"/>
          </w:tcPr>
          <w:p>
            <w:pPr>
              <w:widowControl/>
              <w:spacing w:line="240" w:lineRule="exact"/>
              <w:jc w:val="left"/>
              <w:rPr>
                <w:rFonts w:ascii="宋体" w:hAnsi="宋体" w:eastAsia="宋体" w:cs="宋体"/>
                <w:color w:val="000000"/>
                <w:kern w:val="0"/>
                <w:sz w:val="20"/>
                <w:szCs w:val="20"/>
              </w:rPr>
            </w:pPr>
          </w:p>
        </w:tc>
        <w:tc>
          <w:tcPr>
            <w:tcW w:w="561" w:type="pct"/>
            <w:vMerge w:val="continue"/>
            <w:tcBorders>
              <w:top w:val="single" w:color="auto" w:sz="8" w:space="0"/>
              <w:left w:val="single" w:color="auto" w:sz="4" w:space="0"/>
              <w:bottom w:val="single" w:color="auto" w:sz="8" w:space="0"/>
              <w:right w:val="single" w:color="auto" w:sz="8" w:space="0"/>
            </w:tcBorders>
            <w:tcMar>
              <w:top w:w="28" w:type="dxa"/>
              <w:left w:w="57" w:type="dxa"/>
              <w:bottom w:w="28" w:type="dxa"/>
              <w:right w:w="57" w:type="dxa"/>
            </w:tcMar>
            <w:vAlign w:val="center"/>
          </w:tcPr>
          <w:p>
            <w:pPr>
              <w:widowControl/>
              <w:spacing w:line="240" w:lineRule="exact"/>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624" w:hRule="atLeast"/>
          <w:jc w:val="center"/>
        </w:trPr>
        <w:tc>
          <w:tcPr>
            <w:tcW w:w="285" w:type="pct"/>
            <w:tcBorders>
              <w:top w:val="single" w:color="auto" w:sz="4" w:space="0"/>
              <w:left w:val="single" w:color="auto" w:sz="8"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泰州市</w:t>
            </w:r>
          </w:p>
        </w:tc>
        <w:tc>
          <w:tcPr>
            <w:tcW w:w="191"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Times New Roman" w:hAnsi="Times New Roman" w:eastAsia="宋体" w:cs="宋体"/>
                <w:color w:val="000000"/>
                <w:kern w:val="0"/>
                <w:sz w:val="20"/>
                <w:szCs w:val="20"/>
              </w:rPr>
              <w:t>1C</w:t>
            </w:r>
          </w:p>
        </w:tc>
        <w:tc>
          <w:tcPr>
            <w:tcW w:w="316"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泰州职业技术学院</w:t>
            </w:r>
          </w:p>
        </w:tc>
        <w:tc>
          <w:tcPr>
            <w:tcW w:w="230"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Times New Roman" w:hAnsi="Times New Roman" w:eastAsia="宋体" w:cs="宋体"/>
                <w:color w:val="000000"/>
                <w:kern w:val="0"/>
                <w:sz w:val="20"/>
                <w:szCs w:val="20"/>
              </w:rPr>
              <w:t>1C</w:t>
            </w:r>
            <w:r>
              <w:rPr>
                <w:rFonts w:hint="eastAsia" w:ascii="宋体" w:hAnsi="宋体" w:eastAsia="宋体" w:cs="宋体"/>
                <w:color w:val="000000"/>
                <w:kern w:val="0"/>
                <w:sz w:val="20"/>
                <w:szCs w:val="20"/>
              </w:rPr>
              <w:t>-</w:t>
            </w:r>
            <w:r>
              <w:rPr>
                <w:rFonts w:hint="eastAsia" w:ascii="Times New Roman" w:hAnsi="Times New Roman" w:eastAsia="宋体" w:cs="宋体"/>
                <w:color w:val="000000"/>
                <w:kern w:val="0"/>
                <w:sz w:val="20"/>
                <w:szCs w:val="20"/>
              </w:rPr>
              <w:t>9</w:t>
            </w:r>
          </w:p>
        </w:tc>
        <w:tc>
          <w:tcPr>
            <w:tcW w:w="369"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从事教学及科研工作</w:t>
            </w:r>
          </w:p>
        </w:tc>
        <w:tc>
          <w:tcPr>
            <w:tcW w:w="185"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Times New Roman" w:hAnsi="Times New Roman" w:eastAsia="宋体" w:cs="宋体"/>
                <w:color w:val="000000"/>
                <w:kern w:val="0"/>
                <w:sz w:val="20"/>
                <w:szCs w:val="20"/>
              </w:rPr>
              <w:t>2</w:t>
            </w:r>
          </w:p>
        </w:tc>
        <w:tc>
          <w:tcPr>
            <w:tcW w:w="323"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硕士</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研究生</w:t>
            </w:r>
          </w:p>
        </w:tc>
        <w:tc>
          <w:tcPr>
            <w:tcW w:w="672"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数学类</w:t>
            </w:r>
          </w:p>
        </w:tc>
        <w:tc>
          <w:tcPr>
            <w:tcW w:w="849" w:type="pct"/>
            <w:vMerge w:val="continue"/>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p>
        </w:tc>
        <w:tc>
          <w:tcPr>
            <w:tcW w:w="553" w:type="pct"/>
            <w:vMerge w:val="continue"/>
            <w:tcBorders>
              <w:top w:val="single" w:color="auto" w:sz="8" w:space="0"/>
              <w:left w:val="single" w:color="auto" w:sz="4" w:space="0"/>
              <w:bottom w:val="single" w:color="auto" w:sz="8"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color w:val="000000"/>
                <w:kern w:val="0"/>
                <w:sz w:val="20"/>
                <w:szCs w:val="20"/>
              </w:rPr>
            </w:pPr>
          </w:p>
        </w:tc>
        <w:tc>
          <w:tcPr>
            <w:tcW w:w="185" w:type="pct"/>
            <w:vMerge w:val="continue"/>
            <w:tcBorders>
              <w:top w:val="single" w:color="auto" w:sz="8" w:space="0"/>
              <w:left w:val="single" w:color="auto" w:sz="4" w:space="0"/>
              <w:bottom w:val="single" w:color="auto" w:sz="8" w:space="0"/>
              <w:right w:val="single" w:color="auto" w:sz="4" w:space="0"/>
            </w:tcBorders>
            <w:tcMar>
              <w:top w:w="28" w:type="dxa"/>
              <w:left w:w="57" w:type="dxa"/>
              <w:bottom w:w="28" w:type="dxa"/>
              <w:right w:w="57" w:type="dxa"/>
            </w:tcMar>
            <w:vAlign w:val="center"/>
          </w:tcPr>
          <w:p>
            <w:pPr>
              <w:widowControl/>
              <w:spacing w:line="240" w:lineRule="exact"/>
              <w:jc w:val="left"/>
              <w:rPr>
                <w:rFonts w:ascii="宋体" w:hAnsi="宋体" w:eastAsia="宋体" w:cs="宋体"/>
                <w:color w:val="000000"/>
                <w:kern w:val="0"/>
                <w:sz w:val="20"/>
                <w:szCs w:val="20"/>
              </w:rPr>
            </w:pPr>
          </w:p>
        </w:tc>
        <w:tc>
          <w:tcPr>
            <w:tcW w:w="276" w:type="pct"/>
            <w:vMerge w:val="continue"/>
            <w:tcBorders>
              <w:top w:val="single" w:color="auto" w:sz="8" w:space="0"/>
              <w:left w:val="single" w:color="auto" w:sz="4" w:space="0"/>
              <w:bottom w:val="single" w:color="auto" w:sz="8" w:space="0"/>
              <w:right w:val="single" w:color="auto" w:sz="4" w:space="0"/>
            </w:tcBorders>
            <w:tcMar>
              <w:top w:w="28" w:type="dxa"/>
              <w:left w:w="57" w:type="dxa"/>
              <w:bottom w:w="28" w:type="dxa"/>
              <w:right w:w="57" w:type="dxa"/>
            </w:tcMar>
            <w:vAlign w:val="center"/>
          </w:tcPr>
          <w:p>
            <w:pPr>
              <w:widowControl/>
              <w:spacing w:line="240" w:lineRule="exact"/>
              <w:jc w:val="left"/>
              <w:rPr>
                <w:rFonts w:ascii="宋体" w:hAnsi="宋体" w:eastAsia="宋体" w:cs="宋体"/>
                <w:color w:val="000000"/>
                <w:kern w:val="0"/>
                <w:sz w:val="20"/>
                <w:szCs w:val="20"/>
              </w:rPr>
            </w:pPr>
          </w:p>
        </w:tc>
        <w:tc>
          <w:tcPr>
            <w:tcW w:w="561" w:type="pct"/>
            <w:vMerge w:val="continue"/>
            <w:tcBorders>
              <w:top w:val="single" w:color="auto" w:sz="8" w:space="0"/>
              <w:left w:val="single" w:color="auto" w:sz="4" w:space="0"/>
              <w:bottom w:val="single" w:color="auto" w:sz="8" w:space="0"/>
              <w:right w:val="single" w:color="auto" w:sz="8" w:space="0"/>
            </w:tcBorders>
            <w:tcMar>
              <w:top w:w="28" w:type="dxa"/>
              <w:left w:w="57" w:type="dxa"/>
              <w:bottom w:w="28" w:type="dxa"/>
              <w:right w:w="57" w:type="dxa"/>
            </w:tcMar>
            <w:vAlign w:val="center"/>
          </w:tcPr>
          <w:p>
            <w:pPr>
              <w:widowControl/>
              <w:spacing w:line="240" w:lineRule="exact"/>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60" w:hRule="atLeast"/>
          <w:jc w:val="center"/>
        </w:trPr>
        <w:tc>
          <w:tcPr>
            <w:tcW w:w="285" w:type="pct"/>
            <w:tcBorders>
              <w:top w:val="single" w:color="auto" w:sz="4" w:space="0"/>
              <w:left w:val="single" w:color="auto" w:sz="8" w:space="0"/>
              <w:bottom w:val="single" w:color="auto" w:sz="8"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泰州市</w:t>
            </w:r>
          </w:p>
        </w:tc>
        <w:tc>
          <w:tcPr>
            <w:tcW w:w="191" w:type="pct"/>
            <w:tcBorders>
              <w:top w:val="single" w:color="auto" w:sz="4" w:space="0"/>
              <w:left w:val="single" w:color="auto" w:sz="4" w:space="0"/>
              <w:bottom w:val="single" w:color="auto" w:sz="8"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Times New Roman" w:hAnsi="Times New Roman" w:eastAsia="宋体" w:cs="宋体"/>
                <w:color w:val="000000"/>
                <w:kern w:val="0"/>
                <w:sz w:val="20"/>
                <w:szCs w:val="20"/>
              </w:rPr>
              <w:t>1C</w:t>
            </w:r>
          </w:p>
        </w:tc>
        <w:tc>
          <w:tcPr>
            <w:tcW w:w="316" w:type="pct"/>
            <w:tcBorders>
              <w:top w:val="single" w:color="auto" w:sz="4" w:space="0"/>
              <w:left w:val="single" w:color="auto" w:sz="4" w:space="0"/>
              <w:bottom w:val="single" w:color="auto" w:sz="8"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泰州职业技术学院</w:t>
            </w:r>
          </w:p>
        </w:tc>
        <w:tc>
          <w:tcPr>
            <w:tcW w:w="230" w:type="pct"/>
            <w:tcBorders>
              <w:top w:val="single" w:color="auto" w:sz="4" w:space="0"/>
              <w:left w:val="single" w:color="auto" w:sz="4" w:space="0"/>
              <w:bottom w:val="single" w:color="auto" w:sz="8"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Times New Roman" w:hAnsi="Times New Roman" w:eastAsia="宋体" w:cs="宋体"/>
                <w:color w:val="000000"/>
                <w:kern w:val="0"/>
                <w:sz w:val="20"/>
                <w:szCs w:val="20"/>
              </w:rPr>
              <w:t>1C</w:t>
            </w:r>
            <w:r>
              <w:rPr>
                <w:rFonts w:hint="eastAsia" w:ascii="宋体" w:hAnsi="宋体" w:eastAsia="宋体" w:cs="宋体"/>
                <w:color w:val="000000"/>
                <w:kern w:val="0"/>
                <w:sz w:val="20"/>
                <w:szCs w:val="20"/>
              </w:rPr>
              <w:t>-</w:t>
            </w:r>
            <w:r>
              <w:rPr>
                <w:rFonts w:hint="eastAsia" w:ascii="Times New Roman" w:hAnsi="Times New Roman" w:eastAsia="宋体" w:cs="宋体"/>
                <w:color w:val="000000"/>
                <w:kern w:val="0"/>
                <w:sz w:val="20"/>
                <w:szCs w:val="20"/>
              </w:rPr>
              <w:t>10</w:t>
            </w:r>
          </w:p>
        </w:tc>
        <w:tc>
          <w:tcPr>
            <w:tcW w:w="369" w:type="pct"/>
            <w:tcBorders>
              <w:top w:val="single" w:color="auto" w:sz="4" w:space="0"/>
              <w:left w:val="single" w:color="auto" w:sz="4" w:space="0"/>
              <w:bottom w:val="single" w:color="auto" w:sz="8"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从事教学及科研工作</w:t>
            </w:r>
          </w:p>
        </w:tc>
        <w:tc>
          <w:tcPr>
            <w:tcW w:w="185" w:type="pct"/>
            <w:tcBorders>
              <w:top w:val="single" w:color="auto" w:sz="4" w:space="0"/>
              <w:left w:val="single" w:color="auto" w:sz="4" w:space="0"/>
              <w:bottom w:val="single" w:color="auto" w:sz="8"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Times New Roman" w:hAnsi="Times New Roman" w:eastAsia="宋体" w:cs="宋体"/>
                <w:color w:val="000000"/>
                <w:kern w:val="0"/>
                <w:sz w:val="20"/>
                <w:szCs w:val="20"/>
              </w:rPr>
              <w:t>2</w:t>
            </w:r>
          </w:p>
        </w:tc>
        <w:tc>
          <w:tcPr>
            <w:tcW w:w="323" w:type="pct"/>
            <w:tcBorders>
              <w:top w:val="single" w:color="auto" w:sz="4" w:space="0"/>
              <w:left w:val="single" w:color="auto" w:sz="4" w:space="0"/>
              <w:bottom w:val="single" w:color="auto" w:sz="8"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硕士</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研究生</w:t>
            </w:r>
          </w:p>
        </w:tc>
        <w:tc>
          <w:tcPr>
            <w:tcW w:w="672" w:type="pct"/>
            <w:tcBorders>
              <w:top w:val="single" w:color="auto" w:sz="4" w:space="0"/>
              <w:left w:val="single" w:color="auto" w:sz="4" w:space="0"/>
              <w:bottom w:val="single" w:color="auto" w:sz="8"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both"/>
              <w:rPr>
                <w:rFonts w:ascii="宋体" w:hAnsi="宋体" w:eastAsia="宋体" w:cs="宋体"/>
                <w:color w:val="000000"/>
                <w:kern w:val="0"/>
                <w:sz w:val="20"/>
                <w:szCs w:val="20"/>
              </w:rPr>
            </w:pPr>
            <w:r>
              <w:rPr>
                <w:rFonts w:hint="eastAsia" w:ascii="宋体" w:hAnsi="宋体" w:eastAsia="宋体" w:cs="宋体"/>
                <w:color w:val="000000"/>
                <w:kern w:val="0"/>
                <w:sz w:val="20"/>
                <w:szCs w:val="20"/>
              </w:rPr>
              <w:t>财经商贸类、旅游管理类</w:t>
            </w:r>
          </w:p>
        </w:tc>
        <w:tc>
          <w:tcPr>
            <w:tcW w:w="849" w:type="pct"/>
            <w:vMerge w:val="continue"/>
            <w:tcBorders>
              <w:top w:val="single" w:color="auto" w:sz="4" w:space="0"/>
              <w:left w:val="single" w:color="auto" w:sz="4" w:space="0"/>
              <w:bottom w:val="single" w:color="auto" w:sz="8"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p>
        </w:tc>
        <w:tc>
          <w:tcPr>
            <w:tcW w:w="553" w:type="pct"/>
            <w:vMerge w:val="continue"/>
            <w:tcBorders>
              <w:top w:val="single" w:color="auto" w:sz="8" w:space="0"/>
              <w:left w:val="single" w:color="auto" w:sz="4" w:space="0"/>
              <w:bottom w:val="single" w:color="auto" w:sz="8"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color w:val="000000"/>
                <w:kern w:val="0"/>
                <w:sz w:val="20"/>
                <w:szCs w:val="20"/>
              </w:rPr>
            </w:pPr>
          </w:p>
        </w:tc>
        <w:tc>
          <w:tcPr>
            <w:tcW w:w="185" w:type="pct"/>
            <w:vMerge w:val="continue"/>
            <w:tcBorders>
              <w:top w:val="single" w:color="auto" w:sz="8" w:space="0"/>
              <w:left w:val="single" w:color="auto" w:sz="4" w:space="0"/>
              <w:bottom w:val="single" w:color="auto" w:sz="8" w:space="0"/>
              <w:right w:val="single" w:color="auto" w:sz="4" w:space="0"/>
            </w:tcBorders>
            <w:tcMar>
              <w:top w:w="28" w:type="dxa"/>
              <w:left w:w="57" w:type="dxa"/>
              <w:bottom w:w="28" w:type="dxa"/>
              <w:right w:w="57" w:type="dxa"/>
            </w:tcMar>
            <w:vAlign w:val="center"/>
          </w:tcPr>
          <w:p>
            <w:pPr>
              <w:widowControl/>
              <w:spacing w:line="240" w:lineRule="exact"/>
              <w:jc w:val="left"/>
              <w:rPr>
                <w:rFonts w:ascii="宋体" w:hAnsi="宋体" w:eastAsia="宋体" w:cs="宋体"/>
                <w:color w:val="000000"/>
                <w:kern w:val="0"/>
                <w:sz w:val="20"/>
                <w:szCs w:val="20"/>
              </w:rPr>
            </w:pPr>
          </w:p>
        </w:tc>
        <w:tc>
          <w:tcPr>
            <w:tcW w:w="276" w:type="pct"/>
            <w:vMerge w:val="continue"/>
            <w:tcBorders>
              <w:top w:val="single" w:color="auto" w:sz="8" w:space="0"/>
              <w:left w:val="single" w:color="auto" w:sz="4" w:space="0"/>
              <w:bottom w:val="single" w:color="auto" w:sz="8" w:space="0"/>
              <w:right w:val="single" w:color="auto" w:sz="4" w:space="0"/>
            </w:tcBorders>
            <w:tcMar>
              <w:top w:w="28" w:type="dxa"/>
              <w:left w:w="57" w:type="dxa"/>
              <w:bottom w:w="28" w:type="dxa"/>
              <w:right w:w="57" w:type="dxa"/>
            </w:tcMar>
            <w:vAlign w:val="center"/>
          </w:tcPr>
          <w:p>
            <w:pPr>
              <w:widowControl/>
              <w:spacing w:line="240" w:lineRule="exact"/>
              <w:jc w:val="left"/>
              <w:rPr>
                <w:rFonts w:ascii="宋体" w:hAnsi="宋体" w:eastAsia="宋体" w:cs="宋体"/>
                <w:color w:val="000000"/>
                <w:kern w:val="0"/>
                <w:sz w:val="20"/>
                <w:szCs w:val="20"/>
              </w:rPr>
            </w:pPr>
          </w:p>
        </w:tc>
        <w:tc>
          <w:tcPr>
            <w:tcW w:w="561" w:type="pct"/>
            <w:vMerge w:val="continue"/>
            <w:tcBorders>
              <w:top w:val="single" w:color="auto" w:sz="8" w:space="0"/>
              <w:left w:val="single" w:color="auto" w:sz="4" w:space="0"/>
              <w:bottom w:val="single" w:color="auto" w:sz="8" w:space="0"/>
              <w:right w:val="single" w:color="auto" w:sz="8" w:space="0"/>
            </w:tcBorders>
            <w:tcMar>
              <w:top w:w="28" w:type="dxa"/>
              <w:left w:w="57" w:type="dxa"/>
              <w:bottom w:w="28" w:type="dxa"/>
              <w:right w:w="57" w:type="dxa"/>
            </w:tcMar>
            <w:vAlign w:val="center"/>
          </w:tcPr>
          <w:p>
            <w:pPr>
              <w:widowControl/>
              <w:spacing w:line="240" w:lineRule="exact"/>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2818" w:hRule="atLeast"/>
          <w:jc w:val="center"/>
        </w:trPr>
        <w:tc>
          <w:tcPr>
            <w:tcW w:w="285" w:type="pct"/>
            <w:tcBorders>
              <w:top w:val="single" w:color="auto" w:sz="8" w:space="0"/>
              <w:left w:val="single" w:color="auto" w:sz="8"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泰州市</w:t>
            </w:r>
          </w:p>
        </w:tc>
        <w:tc>
          <w:tcPr>
            <w:tcW w:w="191" w:type="pct"/>
            <w:tcBorders>
              <w:top w:val="single" w:color="auto" w:sz="8"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Times New Roman" w:hAnsi="Times New Roman" w:eastAsia="宋体" w:cs="宋体"/>
                <w:color w:val="000000"/>
                <w:kern w:val="0"/>
                <w:sz w:val="20"/>
                <w:szCs w:val="20"/>
              </w:rPr>
              <w:t>1C</w:t>
            </w:r>
          </w:p>
        </w:tc>
        <w:tc>
          <w:tcPr>
            <w:tcW w:w="316" w:type="pct"/>
            <w:tcBorders>
              <w:top w:val="single" w:color="auto" w:sz="8"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泰州职业技术学院</w:t>
            </w:r>
          </w:p>
        </w:tc>
        <w:tc>
          <w:tcPr>
            <w:tcW w:w="230" w:type="pct"/>
            <w:tcBorders>
              <w:top w:val="single" w:color="auto" w:sz="8"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Times New Roman" w:hAnsi="Times New Roman" w:eastAsia="宋体" w:cs="宋体"/>
                <w:color w:val="000000"/>
                <w:kern w:val="0"/>
                <w:sz w:val="20"/>
                <w:szCs w:val="20"/>
              </w:rPr>
              <w:t>1C</w:t>
            </w:r>
            <w:r>
              <w:rPr>
                <w:rFonts w:hint="eastAsia" w:ascii="宋体" w:hAnsi="宋体" w:eastAsia="宋体" w:cs="宋体"/>
                <w:color w:val="000000"/>
                <w:kern w:val="0"/>
                <w:sz w:val="20"/>
                <w:szCs w:val="20"/>
              </w:rPr>
              <w:t>-</w:t>
            </w:r>
            <w:r>
              <w:rPr>
                <w:rFonts w:hint="eastAsia" w:ascii="Times New Roman" w:hAnsi="Times New Roman" w:eastAsia="宋体" w:cs="宋体"/>
                <w:color w:val="000000"/>
                <w:kern w:val="0"/>
                <w:sz w:val="20"/>
                <w:szCs w:val="20"/>
              </w:rPr>
              <w:t>11</w:t>
            </w:r>
          </w:p>
        </w:tc>
        <w:tc>
          <w:tcPr>
            <w:tcW w:w="369" w:type="pct"/>
            <w:tcBorders>
              <w:top w:val="single" w:color="auto" w:sz="8"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从事教学及科研工作</w:t>
            </w:r>
          </w:p>
        </w:tc>
        <w:tc>
          <w:tcPr>
            <w:tcW w:w="185" w:type="pct"/>
            <w:tcBorders>
              <w:top w:val="single" w:color="auto" w:sz="8"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Times New Roman" w:hAnsi="Times New Roman" w:eastAsia="宋体" w:cs="宋体"/>
                <w:color w:val="000000"/>
                <w:kern w:val="0"/>
                <w:sz w:val="20"/>
                <w:szCs w:val="20"/>
              </w:rPr>
              <w:t>15</w:t>
            </w:r>
          </w:p>
        </w:tc>
        <w:tc>
          <w:tcPr>
            <w:tcW w:w="323" w:type="pct"/>
            <w:tcBorders>
              <w:top w:val="single" w:color="auto" w:sz="8"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博士</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研究生</w:t>
            </w:r>
          </w:p>
        </w:tc>
        <w:tc>
          <w:tcPr>
            <w:tcW w:w="672" w:type="pct"/>
            <w:tcBorders>
              <w:top w:val="single" w:color="auto" w:sz="8"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both"/>
              <w:rPr>
                <w:rFonts w:ascii="宋体" w:hAnsi="宋体" w:eastAsia="宋体" w:cs="宋体"/>
                <w:color w:val="000000"/>
                <w:kern w:val="0"/>
                <w:sz w:val="20"/>
                <w:szCs w:val="20"/>
              </w:rPr>
            </w:pPr>
            <w:r>
              <w:rPr>
                <w:rFonts w:hint="eastAsia" w:ascii="宋体" w:hAnsi="宋体" w:eastAsia="宋体" w:cs="宋体"/>
                <w:color w:val="000000"/>
                <w:kern w:val="0"/>
                <w:sz w:val="20"/>
                <w:szCs w:val="20"/>
              </w:rPr>
              <w:t>临床医学、口腔医学类、机械工程类、汽车工程类、智能制造类、信息技术类、计算机类、药物制剂类、经济管理类、建筑工程类、艺术设计类</w:t>
            </w:r>
          </w:p>
        </w:tc>
        <w:tc>
          <w:tcPr>
            <w:tcW w:w="849" w:type="pct"/>
            <w:tcBorders>
              <w:top w:val="single" w:color="auto" w:sz="8"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p>
        </w:tc>
        <w:tc>
          <w:tcPr>
            <w:tcW w:w="553" w:type="pct"/>
            <w:tcBorders>
              <w:top w:val="single" w:color="auto" w:sz="8"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报名网址：http://rczp.tzpc.edu.cn</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电子邮箱：tzyrsc@126.com</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咨询电话：0523-86664005</w:t>
            </w:r>
          </w:p>
        </w:tc>
        <w:tc>
          <w:tcPr>
            <w:tcW w:w="185" w:type="pct"/>
            <w:tcBorders>
              <w:top w:val="single" w:color="auto" w:sz="8"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Times New Roman" w:hAnsi="Times New Roman" w:eastAsia="宋体" w:cs="宋体"/>
                <w:color w:val="000000"/>
                <w:kern w:val="0"/>
                <w:sz w:val="20"/>
                <w:szCs w:val="20"/>
              </w:rPr>
              <w:t>1</w:t>
            </w:r>
          </w:p>
        </w:tc>
        <w:tc>
          <w:tcPr>
            <w:tcW w:w="276" w:type="pct"/>
            <w:tcBorders>
              <w:top w:val="single" w:color="auto" w:sz="8"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学术</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汇报</w:t>
            </w:r>
          </w:p>
        </w:tc>
        <w:tc>
          <w:tcPr>
            <w:tcW w:w="561" w:type="pct"/>
            <w:tcBorders>
              <w:top w:val="single" w:color="auto" w:sz="8" w:space="0"/>
              <w:left w:val="single" w:color="auto" w:sz="4" w:space="0"/>
              <w:bottom w:val="single" w:color="auto" w:sz="4" w:space="0"/>
              <w:right w:val="single" w:color="auto" w:sz="8" w:space="0"/>
            </w:tcBorders>
            <w:shd w:val="clear" w:color="auto" w:fill="auto"/>
            <w:tcMar>
              <w:top w:w="28" w:type="dxa"/>
              <w:left w:w="57" w:type="dxa"/>
              <w:bottom w:w="28" w:type="dxa"/>
              <w:right w:w="57" w:type="dxa"/>
            </w:tcMar>
            <w:vAlign w:val="center"/>
          </w:tcPr>
          <w:p>
            <w:pPr>
              <w:widowControl/>
              <w:numPr>
                <w:ilvl w:val="0"/>
                <w:numId w:val="0"/>
              </w:numPr>
              <w:spacing w:line="240" w:lineRule="exac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val="en-US" w:eastAsia="zh-CN" w:bidi="ar-SA"/>
              </w:rPr>
              <w:t>1.</w:t>
            </w:r>
            <w:r>
              <w:rPr>
                <w:rFonts w:hint="eastAsia" w:ascii="宋体" w:hAnsi="宋体" w:eastAsia="宋体" w:cs="宋体"/>
                <w:color w:val="000000"/>
                <w:kern w:val="0"/>
                <w:sz w:val="20"/>
                <w:szCs w:val="20"/>
              </w:rPr>
              <w:t>纳入人员总量管理</w:t>
            </w:r>
            <w:r>
              <w:rPr>
                <w:rFonts w:hint="eastAsia" w:ascii="宋体" w:hAnsi="宋体" w:eastAsia="宋体" w:cs="宋体"/>
                <w:color w:val="000000"/>
                <w:kern w:val="0"/>
                <w:sz w:val="20"/>
                <w:szCs w:val="20"/>
                <w:lang w:eastAsia="zh-CN"/>
              </w:rPr>
              <w:t>；</w:t>
            </w:r>
          </w:p>
          <w:p>
            <w:pPr>
              <w:widowControl/>
              <w:numPr>
                <w:ilvl w:val="0"/>
                <w:numId w:val="0"/>
              </w:numPr>
              <w:spacing w:line="240" w:lineRule="exact"/>
              <w:rPr>
                <w:rFonts w:ascii="宋体" w:hAnsi="宋体" w:eastAsia="宋体" w:cs="宋体"/>
                <w:color w:val="000000"/>
                <w:kern w:val="0"/>
                <w:sz w:val="20"/>
                <w:szCs w:val="20"/>
              </w:rPr>
            </w:pPr>
            <w:r>
              <w:rPr>
                <w:rFonts w:ascii="宋体" w:hAnsi="宋体" w:eastAsia="宋体" w:cs="宋体"/>
                <w:color w:val="000000"/>
                <w:kern w:val="0"/>
                <w:sz w:val="20"/>
                <w:szCs w:val="20"/>
                <w:lang w:val="en-US" w:eastAsia="zh-CN" w:bidi="ar-SA"/>
              </w:rPr>
              <w:t>2.</w:t>
            </w:r>
            <w:r>
              <w:rPr>
                <w:rFonts w:hint="eastAsia" w:ascii="宋体" w:hAnsi="宋体" w:eastAsia="宋体" w:cs="宋体"/>
                <w:color w:val="000000"/>
                <w:kern w:val="0"/>
                <w:sz w:val="20"/>
                <w:szCs w:val="20"/>
              </w:rPr>
              <w:t>安家费和购房补贴</w:t>
            </w:r>
            <w:r>
              <w:rPr>
                <w:rFonts w:hint="eastAsia" w:ascii="Times New Roman" w:hAnsi="Times New Roman" w:eastAsia="宋体" w:cs="宋体"/>
                <w:color w:val="000000"/>
                <w:kern w:val="0"/>
                <w:sz w:val="20"/>
                <w:szCs w:val="20"/>
              </w:rPr>
              <w:t>30</w:t>
            </w:r>
            <w:r>
              <w:rPr>
                <w:rFonts w:hint="eastAsia" w:ascii="宋体" w:hAnsi="宋体" w:eastAsia="宋体" w:cs="宋体"/>
                <w:color w:val="000000"/>
                <w:kern w:val="0"/>
                <w:sz w:val="20"/>
                <w:szCs w:val="20"/>
              </w:rPr>
              <w:t>-</w:t>
            </w:r>
            <w:r>
              <w:rPr>
                <w:rFonts w:hint="eastAsia" w:ascii="Times New Roman" w:hAnsi="Times New Roman" w:eastAsia="宋体" w:cs="宋体"/>
                <w:color w:val="000000"/>
                <w:kern w:val="0"/>
                <w:sz w:val="20"/>
                <w:szCs w:val="20"/>
              </w:rPr>
              <w:t>60</w:t>
            </w:r>
            <w:r>
              <w:rPr>
                <w:rFonts w:hint="eastAsia" w:ascii="Times New Roman" w:hAnsi="Times New Roman" w:eastAsia="宋体" w:cs="宋体"/>
                <w:color w:val="000000"/>
                <w:kern w:val="0"/>
                <w:sz w:val="20"/>
                <w:szCs w:val="20"/>
                <w:lang w:val="en-US" w:eastAsia="zh-CN"/>
              </w:rPr>
              <w:t>万元</w:t>
            </w:r>
            <w:r>
              <w:rPr>
                <w:rFonts w:hint="eastAsia" w:ascii="宋体" w:hAnsi="宋体" w:eastAsia="宋体" w:cs="宋体"/>
                <w:color w:val="000000"/>
                <w:kern w:val="0"/>
                <w:sz w:val="20"/>
                <w:szCs w:val="20"/>
              </w:rPr>
              <w:t>，科研启动经费</w:t>
            </w:r>
            <w:r>
              <w:rPr>
                <w:rFonts w:hint="eastAsia" w:ascii="Times New Roman" w:hAnsi="Times New Roman" w:eastAsia="宋体" w:cs="宋体"/>
                <w:color w:val="000000"/>
                <w:kern w:val="0"/>
                <w:sz w:val="20"/>
                <w:szCs w:val="20"/>
              </w:rPr>
              <w:t>5</w:t>
            </w:r>
            <w:r>
              <w:rPr>
                <w:rFonts w:hint="eastAsia" w:ascii="宋体" w:hAnsi="宋体" w:eastAsia="宋体" w:cs="宋体"/>
                <w:color w:val="000000"/>
                <w:kern w:val="0"/>
                <w:sz w:val="20"/>
                <w:szCs w:val="20"/>
              </w:rPr>
              <w:t>-</w:t>
            </w:r>
            <w:r>
              <w:rPr>
                <w:rFonts w:hint="eastAsia" w:ascii="Times New Roman" w:hAnsi="Times New Roman" w:eastAsia="宋体" w:cs="宋体"/>
                <w:color w:val="000000"/>
                <w:kern w:val="0"/>
                <w:sz w:val="20"/>
                <w:szCs w:val="20"/>
              </w:rPr>
              <w:t>10</w:t>
            </w:r>
            <w:r>
              <w:rPr>
                <w:rFonts w:hint="eastAsia" w:ascii="Times New Roman" w:hAnsi="Times New Roman" w:eastAsia="宋体" w:cs="宋体"/>
                <w:color w:val="000000"/>
                <w:kern w:val="0"/>
                <w:sz w:val="20"/>
                <w:szCs w:val="20"/>
                <w:lang w:val="en-US" w:eastAsia="zh-CN"/>
              </w:rPr>
              <w:t>万元</w:t>
            </w:r>
            <w:r>
              <w:rPr>
                <w:rFonts w:hint="eastAsia" w:ascii="宋体" w:hAnsi="宋体" w:eastAsia="宋体" w:cs="宋体"/>
                <w:color w:val="000000"/>
                <w:kern w:val="0"/>
                <w:sz w:val="20"/>
                <w:szCs w:val="20"/>
              </w:rPr>
              <w:t>；学院提供校内过渡住房一套（三年），或每年发放租房补贴</w:t>
            </w:r>
            <w:r>
              <w:rPr>
                <w:rFonts w:hint="eastAsia" w:ascii="Times New Roman" w:hAnsi="Times New Roman" w:eastAsia="宋体" w:cs="宋体"/>
                <w:color w:val="000000"/>
                <w:kern w:val="0"/>
                <w:sz w:val="20"/>
                <w:szCs w:val="20"/>
              </w:rPr>
              <w:t>1</w:t>
            </w:r>
            <w:r>
              <w:rPr>
                <w:rFonts w:hint="eastAsia" w:ascii="宋体" w:hAnsi="宋体" w:eastAsia="宋体" w:cs="宋体"/>
                <w:color w:val="000000"/>
                <w:kern w:val="0"/>
                <w:sz w:val="20"/>
                <w:szCs w:val="20"/>
              </w:rPr>
              <w:t>.</w:t>
            </w:r>
            <w:r>
              <w:rPr>
                <w:rFonts w:hint="eastAsia" w:ascii="Times New Roman" w:hAnsi="Times New Roman" w:eastAsia="宋体" w:cs="宋体"/>
                <w:color w:val="000000"/>
                <w:kern w:val="0"/>
                <w:sz w:val="20"/>
                <w:szCs w:val="20"/>
              </w:rPr>
              <w:t>5</w:t>
            </w:r>
            <w:r>
              <w:rPr>
                <w:rFonts w:hint="eastAsia" w:ascii="宋体" w:hAnsi="宋体" w:eastAsia="宋体" w:cs="宋体"/>
                <w:color w:val="000000"/>
                <w:kern w:val="0"/>
                <w:sz w:val="20"/>
                <w:szCs w:val="20"/>
              </w:rPr>
              <w:t>万</w:t>
            </w:r>
            <w:r>
              <w:rPr>
                <w:rFonts w:hint="eastAsia" w:ascii="宋体" w:hAnsi="宋体" w:eastAsia="宋体" w:cs="宋体"/>
                <w:color w:val="000000"/>
                <w:kern w:val="0"/>
                <w:sz w:val="20"/>
                <w:szCs w:val="20"/>
                <w:lang w:val="en-US" w:eastAsia="zh-CN"/>
              </w:rPr>
              <w:t>元</w:t>
            </w:r>
            <w:r>
              <w:rPr>
                <w:rFonts w:hint="eastAsia" w:ascii="宋体" w:hAnsi="宋体" w:eastAsia="宋体" w:cs="宋体"/>
                <w:color w:val="000000"/>
                <w:kern w:val="0"/>
                <w:sz w:val="20"/>
                <w:szCs w:val="20"/>
              </w:rPr>
              <w:t>（三年）。</w:t>
            </w:r>
          </w:p>
        </w:tc>
      </w:tr>
      <w:tr>
        <w:tblPrEx>
          <w:tblCellMar>
            <w:top w:w="0" w:type="dxa"/>
            <w:left w:w="108" w:type="dxa"/>
            <w:bottom w:w="0" w:type="dxa"/>
            <w:right w:w="108" w:type="dxa"/>
          </w:tblCellMar>
        </w:tblPrEx>
        <w:trPr>
          <w:trHeight w:val="2645" w:hRule="atLeast"/>
          <w:jc w:val="center"/>
        </w:trPr>
        <w:tc>
          <w:tcPr>
            <w:tcW w:w="285" w:type="pct"/>
            <w:tcBorders>
              <w:top w:val="single" w:color="auto" w:sz="4" w:space="0"/>
              <w:left w:val="single" w:color="auto" w:sz="8"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泰州市</w:t>
            </w:r>
          </w:p>
        </w:tc>
        <w:tc>
          <w:tcPr>
            <w:tcW w:w="191"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2C</w:t>
            </w:r>
          </w:p>
        </w:tc>
        <w:tc>
          <w:tcPr>
            <w:tcW w:w="316"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江苏省</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泰州中学</w:t>
            </w:r>
          </w:p>
        </w:tc>
        <w:tc>
          <w:tcPr>
            <w:tcW w:w="230"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2C-1</w:t>
            </w:r>
          </w:p>
        </w:tc>
        <w:tc>
          <w:tcPr>
            <w:tcW w:w="369"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高中化学竞赛教练</w:t>
            </w:r>
          </w:p>
        </w:tc>
        <w:tc>
          <w:tcPr>
            <w:tcW w:w="185"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w:t>
            </w:r>
          </w:p>
        </w:tc>
        <w:tc>
          <w:tcPr>
            <w:tcW w:w="323"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本科</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及以上</w:t>
            </w:r>
          </w:p>
        </w:tc>
        <w:tc>
          <w:tcPr>
            <w:tcW w:w="672"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化学相关专业</w:t>
            </w:r>
          </w:p>
        </w:tc>
        <w:tc>
          <w:tcPr>
            <w:tcW w:w="849" w:type="pct"/>
            <w:vMerge w:val="restar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left"/>
              <w:rPr>
                <w:rFonts w:ascii="宋体" w:hAnsi="宋体" w:eastAsia="宋体" w:cs="宋体"/>
                <w:color w:val="000000"/>
                <w:kern w:val="0"/>
                <w:sz w:val="20"/>
                <w:szCs w:val="20"/>
              </w:rPr>
            </w:pPr>
            <w:r>
              <w:rPr>
                <w:rFonts w:hint="eastAsia" w:ascii="Times New Roman" w:hAnsi="Times New Roman" w:eastAsia="宋体" w:cs="宋体"/>
                <w:color w:val="000000"/>
                <w:kern w:val="0"/>
                <w:sz w:val="20"/>
                <w:szCs w:val="20"/>
              </w:rPr>
              <w:t>1</w:t>
            </w:r>
            <w:r>
              <w:rPr>
                <w:rFonts w:hint="eastAsia" w:ascii="宋体" w:hAnsi="宋体" w:eastAsia="宋体" w:cs="宋体"/>
                <w:color w:val="000000"/>
                <w:kern w:val="0"/>
                <w:sz w:val="20"/>
                <w:szCs w:val="20"/>
              </w:rPr>
              <w:t>.</w:t>
            </w:r>
            <w:r>
              <w:rPr>
                <w:rFonts w:hint="eastAsia" w:ascii="宋体" w:hAnsi="宋体" w:eastAsia="宋体" w:cs="宋体"/>
                <w:kern w:val="0"/>
                <w:sz w:val="20"/>
                <w:szCs w:val="20"/>
              </w:rPr>
              <w:t>毕业院校限定下列高校：北京大学、清华大学、复旦大学、上海交通大学、南京大学、浙江大学、中国科学技术大学、哈尔滨工业大学、西安交通大学。</w:t>
            </w:r>
            <w:r>
              <w:rPr>
                <w:rFonts w:ascii="Times New Roman" w:hAnsi="Times New Roman" w:eastAsia="宋体" w:cs="Times New Roman"/>
                <w:kern w:val="0"/>
                <w:sz w:val="20"/>
                <w:szCs w:val="20"/>
              </w:rPr>
              <w:br w:type="textWrapping"/>
            </w:r>
            <w:r>
              <w:rPr>
                <w:rFonts w:hint="eastAsia" w:ascii="宋体" w:hAnsi="宋体" w:eastAsia="宋体" w:cs="宋体"/>
                <w:kern w:val="0"/>
                <w:sz w:val="20"/>
                <w:szCs w:val="20"/>
              </w:rPr>
              <w:t>研究生学历的应聘人员本科阶段须为国内</w:t>
            </w:r>
            <w:r>
              <w:rPr>
                <w:rFonts w:hint="eastAsia" w:ascii="Times New Roman" w:hAnsi="Times New Roman" w:eastAsia="宋体" w:cs="Times New Roman"/>
                <w:kern w:val="0"/>
                <w:sz w:val="20"/>
                <w:szCs w:val="20"/>
              </w:rPr>
              <w:t>“</w:t>
            </w:r>
            <w:r>
              <w:rPr>
                <w:rFonts w:hint="eastAsia" w:ascii="宋体" w:hAnsi="宋体" w:eastAsia="宋体" w:cs="宋体"/>
                <w:kern w:val="0"/>
                <w:sz w:val="20"/>
                <w:szCs w:val="20"/>
              </w:rPr>
              <w:t>双一流</w:t>
            </w:r>
            <w:r>
              <w:rPr>
                <w:rFonts w:hint="eastAsia" w:ascii="Times New Roman" w:hAnsi="Times New Roman" w:eastAsia="宋体" w:cs="Times New Roman"/>
                <w:kern w:val="0"/>
                <w:sz w:val="20"/>
                <w:szCs w:val="20"/>
              </w:rPr>
              <w:t>”</w:t>
            </w:r>
            <w:r>
              <w:rPr>
                <w:rFonts w:hint="eastAsia" w:ascii="宋体" w:hAnsi="宋体" w:eastAsia="宋体" w:cs="宋体"/>
                <w:kern w:val="0"/>
                <w:sz w:val="20"/>
                <w:szCs w:val="20"/>
              </w:rPr>
              <w:t>建设高校毕业生且所学专业符合应聘岗位专业要求。</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2.</w:t>
            </w:r>
            <w:r>
              <w:rPr>
                <w:rFonts w:hint="eastAsia" w:ascii="宋体" w:hAnsi="宋体" w:eastAsia="宋体" w:cs="宋体"/>
                <w:kern w:val="0"/>
                <w:sz w:val="20"/>
                <w:szCs w:val="20"/>
              </w:rPr>
              <w:t>具有《教师资格条例》规定的相应教师资格证书（如报名时暂未取得教师资格证书，须在办理聘用手续前提供相应教师资格证书）。</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3.</w:t>
            </w:r>
            <w:r>
              <w:rPr>
                <w:rFonts w:hint="eastAsia" w:ascii="宋体" w:hAnsi="宋体" w:eastAsia="宋体" w:cs="宋体"/>
                <w:kern w:val="0"/>
                <w:sz w:val="20"/>
                <w:szCs w:val="20"/>
              </w:rPr>
              <w:t>有一定的学科竞赛基础，能胜任高中学科竞赛教学工作和创新人才培养课程的教学工作。</w:t>
            </w:r>
          </w:p>
        </w:tc>
        <w:tc>
          <w:tcPr>
            <w:tcW w:w="553" w:type="pct"/>
            <w:vMerge w:val="restar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kern w:val="0"/>
                <w:sz w:val="20"/>
                <w:szCs w:val="20"/>
                <w:lang w:val="en-US" w:eastAsia="zh-CN"/>
              </w:rPr>
            </w:pPr>
            <w:r>
              <w:rPr>
                <w:rFonts w:hint="default" w:ascii="Times New Roman" w:hAnsi="Times New Roman" w:eastAsia="宋体" w:cs="Times New Roman"/>
                <w:kern w:val="0"/>
                <w:sz w:val="20"/>
                <w:szCs w:val="20"/>
                <w:lang w:val="en-US" w:eastAsia="zh-CN"/>
              </w:rPr>
              <w:t xml:space="preserve">报名网址：https://www.wjx.top/vm/tTRowyx.aspx# </w:t>
            </w:r>
          </w:p>
          <w:p>
            <w:pPr>
              <w:widowControl/>
              <w:spacing w:line="240" w:lineRule="exact"/>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电子邮箱：stzzxzp@163.com；</w:t>
            </w:r>
            <w:r>
              <w:rPr>
                <w:rFonts w:hint="default" w:ascii="Times New Roman" w:hAnsi="Times New Roman" w:eastAsia="宋体" w:cs="Times New Roman"/>
                <w:kern w:val="0"/>
                <w:sz w:val="20"/>
                <w:szCs w:val="20"/>
              </w:rPr>
              <w:br w:type="textWrapping"/>
            </w:r>
            <w:r>
              <w:rPr>
                <w:rFonts w:hint="default" w:ascii="Times New Roman" w:hAnsi="Times New Roman" w:eastAsia="宋体" w:cs="Times New Roman"/>
                <w:kern w:val="0"/>
                <w:sz w:val="20"/>
                <w:szCs w:val="20"/>
              </w:rPr>
              <w:t>咨询电话：15850858006，0523-80102020。</w:t>
            </w:r>
          </w:p>
        </w:tc>
        <w:tc>
          <w:tcPr>
            <w:tcW w:w="185" w:type="pct"/>
            <w:vMerge w:val="restar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w:t>
            </w:r>
          </w:p>
        </w:tc>
        <w:tc>
          <w:tcPr>
            <w:tcW w:w="276" w:type="pct"/>
            <w:vMerge w:val="restar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笔试+面试（模拟上课和答辩）</w:t>
            </w:r>
          </w:p>
        </w:tc>
        <w:tc>
          <w:tcPr>
            <w:tcW w:w="561" w:type="pct"/>
            <w:vMerge w:val="restart"/>
            <w:tcBorders>
              <w:top w:val="single" w:color="auto" w:sz="4" w:space="0"/>
              <w:left w:val="single" w:color="auto" w:sz="4" w:space="0"/>
              <w:bottom w:val="single" w:color="auto" w:sz="4" w:space="0"/>
              <w:right w:val="single" w:color="auto" w:sz="8" w:space="0"/>
            </w:tcBorders>
            <w:shd w:val="clear" w:color="auto" w:fill="auto"/>
            <w:tcMar>
              <w:top w:w="28" w:type="dxa"/>
              <w:left w:w="57" w:type="dxa"/>
              <w:bottom w:w="28" w:type="dxa"/>
              <w:right w:w="57" w:type="dxa"/>
            </w:tcMar>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1.</w:t>
            </w:r>
            <w:r>
              <w:rPr>
                <w:rFonts w:hint="eastAsia" w:ascii="宋体" w:hAnsi="宋体" w:eastAsia="宋体" w:cs="宋体"/>
                <w:color w:val="000000"/>
                <w:kern w:val="0"/>
                <w:sz w:val="20"/>
                <w:szCs w:val="20"/>
              </w:rPr>
              <w:t>符合泰州市高层次人才条件的根据泰州市高层次人才引进的相关政策，给予有关补贴</w:t>
            </w:r>
            <w:r>
              <w:rPr>
                <w:rFonts w:hint="eastAsia" w:ascii="宋体" w:hAnsi="宋体" w:eastAsia="宋体" w:cs="宋体"/>
                <w:color w:val="000000"/>
                <w:kern w:val="0"/>
                <w:sz w:val="20"/>
                <w:szCs w:val="20"/>
                <w:lang w:val="en-US" w:eastAsia="zh-CN"/>
              </w:rPr>
              <w:t>;</w:t>
            </w:r>
            <w:r>
              <w:rPr>
                <w:rFonts w:ascii="Times New Roman" w:hAnsi="Times New Roman" w:eastAsia="宋体" w:cs="Times New Roman"/>
                <w:color w:val="000000"/>
                <w:kern w:val="0"/>
                <w:sz w:val="20"/>
                <w:szCs w:val="20"/>
              </w:rPr>
              <w:br w:type="textWrapping"/>
            </w:r>
            <w:r>
              <w:rPr>
                <w:rFonts w:hint="eastAsia" w:ascii="Times New Roman" w:hAnsi="Times New Roman" w:eastAsia="宋体" w:cs="Times New Roman"/>
                <w:color w:val="000000"/>
                <w:kern w:val="0"/>
                <w:sz w:val="20"/>
                <w:szCs w:val="20"/>
                <w:lang w:val="en-US" w:eastAsia="zh-CN"/>
              </w:rPr>
              <w:t>2.</w:t>
            </w:r>
            <w:r>
              <w:rPr>
                <w:rFonts w:hint="eastAsia" w:ascii="宋体" w:hAnsi="宋体" w:eastAsia="宋体" w:cs="宋体"/>
                <w:color w:val="000000"/>
                <w:kern w:val="0"/>
                <w:sz w:val="20"/>
                <w:szCs w:val="20"/>
              </w:rPr>
              <w:t>聘用人员工资待遇实行目标年薪制，目标年薪为</w:t>
            </w:r>
            <w:r>
              <w:rPr>
                <w:rFonts w:ascii="Times New Roman" w:hAnsi="Times New Roman" w:eastAsia="宋体" w:cs="Times New Roman"/>
                <w:color w:val="000000"/>
                <w:kern w:val="0"/>
                <w:sz w:val="20"/>
                <w:szCs w:val="20"/>
              </w:rPr>
              <w:t>30-50</w:t>
            </w:r>
            <w:r>
              <w:rPr>
                <w:rFonts w:hint="eastAsia" w:ascii="宋体" w:hAnsi="宋体" w:eastAsia="宋体" w:cs="宋体"/>
                <w:color w:val="000000"/>
                <w:kern w:val="0"/>
                <w:sz w:val="20"/>
                <w:szCs w:val="20"/>
              </w:rPr>
              <w:t>万元，特别优秀者目标年薪可以面议。</w:t>
            </w:r>
          </w:p>
        </w:tc>
      </w:tr>
      <w:tr>
        <w:tblPrEx>
          <w:tblCellMar>
            <w:top w:w="0" w:type="dxa"/>
            <w:left w:w="108" w:type="dxa"/>
            <w:bottom w:w="0" w:type="dxa"/>
            <w:right w:w="108" w:type="dxa"/>
          </w:tblCellMar>
        </w:tblPrEx>
        <w:trPr>
          <w:trHeight w:val="2641" w:hRule="atLeast"/>
          <w:jc w:val="center"/>
        </w:trPr>
        <w:tc>
          <w:tcPr>
            <w:tcW w:w="285" w:type="pct"/>
            <w:tcBorders>
              <w:top w:val="single" w:color="auto" w:sz="4" w:space="0"/>
              <w:left w:val="single" w:color="auto" w:sz="8" w:space="0"/>
              <w:bottom w:val="single" w:color="auto" w:sz="8"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泰州市</w:t>
            </w:r>
          </w:p>
        </w:tc>
        <w:tc>
          <w:tcPr>
            <w:tcW w:w="191" w:type="pct"/>
            <w:tcBorders>
              <w:top w:val="single" w:color="auto" w:sz="4" w:space="0"/>
              <w:left w:val="single" w:color="auto" w:sz="4" w:space="0"/>
              <w:bottom w:val="single" w:color="auto" w:sz="8"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2C </w:t>
            </w:r>
          </w:p>
        </w:tc>
        <w:tc>
          <w:tcPr>
            <w:tcW w:w="316" w:type="pct"/>
            <w:tcBorders>
              <w:top w:val="single" w:color="auto" w:sz="4" w:space="0"/>
              <w:left w:val="single" w:color="auto" w:sz="4" w:space="0"/>
              <w:bottom w:val="single" w:color="auto" w:sz="8"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江苏省</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泰州中学</w:t>
            </w:r>
          </w:p>
        </w:tc>
        <w:tc>
          <w:tcPr>
            <w:tcW w:w="230" w:type="pct"/>
            <w:tcBorders>
              <w:top w:val="single" w:color="auto" w:sz="4" w:space="0"/>
              <w:left w:val="single" w:color="auto" w:sz="4" w:space="0"/>
              <w:bottom w:val="single" w:color="auto" w:sz="8"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2C-2</w:t>
            </w:r>
          </w:p>
        </w:tc>
        <w:tc>
          <w:tcPr>
            <w:tcW w:w="369" w:type="pct"/>
            <w:tcBorders>
              <w:top w:val="single" w:color="auto" w:sz="4" w:space="0"/>
              <w:left w:val="single" w:color="auto" w:sz="4" w:space="0"/>
              <w:bottom w:val="single" w:color="auto" w:sz="8"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高中生物竞赛教练</w:t>
            </w:r>
          </w:p>
        </w:tc>
        <w:tc>
          <w:tcPr>
            <w:tcW w:w="185" w:type="pct"/>
            <w:tcBorders>
              <w:top w:val="single" w:color="auto" w:sz="4" w:space="0"/>
              <w:left w:val="single" w:color="auto" w:sz="4" w:space="0"/>
              <w:bottom w:val="single" w:color="auto" w:sz="8"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w:t>
            </w:r>
          </w:p>
        </w:tc>
        <w:tc>
          <w:tcPr>
            <w:tcW w:w="323" w:type="pct"/>
            <w:tcBorders>
              <w:top w:val="single" w:color="auto" w:sz="4" w:space="0"/>
              <w:left w:val="single" w:color="auto" w:sz="4" w:space="0"/>
              <w:bottom w:val="single" w:color="auto" w:sz="8"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本科</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及以上</w:t>
            </w:r>
          </w:p>
        </w:tc>
        <w:tc>
          <w:tcPr>
            <w:tcW w:w="672" w:type="pct"/>
            <w:tcBorders>
              <w:top w:val="single" w:color="auto" w:sz="4" w:space="0"/>
              <w:left w:val="single" w:color="auto" w:sz="4" w:space="0"/>
              <w:bottom w:val="single" w:color="auto" w:sz="8"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生物相关专业</w:t>
            </w:r>
          </w:p>
        </w:tc>
        <w:tc>
          <w:tcPr>
            <w:tcW w:w="849" w:type="pct"/>
            <w:vMerge w:val="continue"/>
            <w:tcBorders>
              <w:top w:val="single" w:color="auto" w:sz="4" w:space="0"/>
              <w:left w:val="single" w:color="auto" w:sz="4" w:space="0"/>
              <w:bottom w:val="single" w:color="auto" w:sz="8" w:space="0"/>
              <w:right w:val="single" w:color="auto" w:sz="4" w:space="0"/>
            </w:tcBorders>
            <w:tcMar>
              <w:top w:w="28" w:type="dxa"/>
              <w:left w:w="57" w:type="dxa"/>
              <w:bottom w:w="28" w:type="dxa"/>
              <w:right w:w="57" w:type="dxa"/>
            </w:tcMar>
            <w:vAlign w:val="center"/>
          </w:tcPr>
          <w:p>
            <w:pPr>
              <w:widowControl/>
              <w:spacing w:line="240" w:lineRule="exact"/>
              <w:jc w:val="left"/>
              <w:rPr>
                <w:rFonts w:ascii="宋体" w:hAnsi="宋体" w:eastAsia="宋体" w:cs="宋体"/>
                <w:color w:val="000000"/>
                <w:kern w:val="0"/>
                <w:sz w:val="20"/>
                <w:szCs w:val="20"/>
              </w:rPr>
            </w:pPr>
          </w:p>
        </w:tc>
        <w:tc>
          <w:tcPr>
            <w:tcW w:w="553" w:type="pct"/>
            <w:vMerge w:val="continue"/>
            <w:tcBorders>
              <w:top w:val="single" w:color="auto" w:sz="4" w:space="0"/>
              <w:left w:val="single" w:color="auto" w:sz="4" w:space="0"/>
              <w:bottom w:val="single" w:color="auto" w:sz="8" w:space="0"/>
              <w:right w:val="single" w:color="auto" w:sz="4" w:space="0"/>
            </w:tcBorders>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kern w:val="0"/>
                <w:sz w:val="20"/>
                <w:szCs w:val="20"/>
              </w:rPr>
            </w:pPr>
          </w:p>
        </w:tc>
        <w:tc>
          <w:tcPr>
            <w:tcW w:w="185" w:type="pct"/>
            <w:vMerge w:val="continue"/>
            <w:tcBorders>
              <w:top w:val="single" w:color="auto" w:sz="4" w:space="0"/>
              <w:left w:val="single" w:color="auto" w:sz="4" w:space="0"/>
              <w:bottom w:val="single" w:color="auto" w:sz="8" w:space="0"/>
              <w:right w:val="single" w:color="auto" w:sz="4" w:space="0"/>
            </w:tcBorders>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276" w:type="pct"/>
            <w:vMerge w:val="continue"/>
            <w:tcBorders>
              <w:top w:val="single" w:color="auto" w:sz="4" w:space="0"/>
              <w:left w:val="single" w:color="auto" w:sz="4" w:space="0"/>
              <w:bottom w:val="single" w:color="auto" w:sz="8" w:space="0"/>
              <w:right w:val="single" w:color="auto" w:sz="4" w:space="0"/>
            </w:tcBorders>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561" w:type="pct"/>
            <w:vMerge w:val="continue"/>
            <w:tcBorders>
              <w:top w:val="single" w:color="auto" w:sz="4" w:space="0"/>
              <w:left w:val="single" w:color="auto" w:sz="4" w:space="0"/>
              <w:bottom w:val="single" w:color="auto" w:sz="8" w:space="0"/>
              <w:right w:val="single" w:color="auto" w:sz="8" w:space="0"/>
            </w:tcBorders>
            <w:tcMar>
              <w:top w:w="28" w:type="dxa"/>
              <w:left w:w="57" w:type="dxa"/>
              <w:bottom w:w="28" w:type="dxa"/>
              <w:right w:w="57" w:type="dxa"/>
            </w:tcMar>
            <w:vAlign w:val="center"/>
          </w:tcPr>
          <w:p>
            <w:pPr>
              <w:widowControl/>
              <w:spacing w:line="240" w:lineRule="exact"/>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2041" w:hRule="atLeast"/>
          <w:jc w:val="center"/>
        </w:trPr>
        <w:tc>
          <w:tcPr>
            <w:tcW w:w="285" w:type="pct"/>
            <w:tcBorders>
              <w:top w:val="single" w:color="auto" w:sz="8" w:space="0"/>
              <w:left w:val="single" w:color="auto" w:sz="8"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靖江市</w:t>
            </w:r>
          </w:p>
        </w:tc>
        <w:tc>
          <w:tcPr>
            <w:tcW w:w="191" w:type="pct"/>
            <w:tcBorders>
              <w:top w:val="single" w:color="auto" w:sz="8"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3C</w:t>
            </w:r>
          </w:p>
        </w:tc>
        <w:tc>
          <w:tcPr>
            <w:tcW w:w="316" w:type="pct"/>
            <w:tcBorders>
              <w:top w:val="single" w:color="auto" w:sz="8"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江苏省</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靖江中学</w:t>
            </w:r>
          </w:p>
        </w:tc>
        <w:tc>
          <w:tcPr>
            <w:tcW w:w="230" w:type="pct"/>
            <w:tcBorders>
              <w:top w:val="single" w:color="auto" w:sz="8"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3C-1</w:t>
            </w:r>
          </w:p>
        </w:tc>
        <w:tc>
          <w:tcPr>
            <w:tcW w:w="369" w:type="pct"/>
            <w:tcBorders>
              <w:top w:val="single" w:color="auto" w:sz="8"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从事高中数学教学及管理工作</w:t>
            </w:r>
          </w:p>
        </w:tc>
        <w:tc>
          <w:tcPr>
            <w:tcW w:w="185" w:type="pct"/>
            <w:tcBorders>
              <w:top w:val="single" w:color="auto" w:sz="8"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w:t>
            </w:r>
          </w:p>
        </w:tc>
        <w:tc>
          <w:tcPr>
            <w:tcW w:w="323" w:type="pct"/>
            <w:tcBorders>
              <w:top w:val="single" w:color="auto" w:sz="8"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本科</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及以上</w:t>
            </w:r>
          </w:p>
        </w:tc>
        <w:tc>
          <w:tcPr>
            <w:tcW w:w="672" w:type="pct"/>
            <w:tcBorders>
              <w:top w:val="single" w:color="auto" w:sz="8"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不限</w:t>
            </w:r>
          </w:p>
        </w:tc>
        <w:tc>
          <w:tcPr>
            <w:tcW w:w="849" w:type="pct"/>
            <w:vMerge w:val="restart"/>
            <w:tcBorders>
              <w:top w:val="single" w:color="auto" w:sz="8"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r>
              <w:rPr>
                <w:rFonts w:hint="eastAsia" w:ascii="宋体" w:hAnsi="宋体" w:eastAsia="宋体" w:cs="宋体"/>
                <w:kern w:val="0"/>
                <w:sz w:val="20"/>
                <w:szCs w:val="20"/>
              </w:rPr>
              <w:t>应具备以下条件之一：</w:t>
            </w:r>
            <w:r>
              <w:rPr>
                <w:rFonts w:hint="eastAsia" w:ascii="宋体" w:hAnsi="宋体" w:eastAsia="宋体" w:cs="宋体"/>
                <w:kern w:val="0"/>
                <w:sz w:val="20"/>
                <w:szCs w:val="20"/>
              </w:rPr>
              <w:br w:type="textWrapping"/>
            </w:r>
            <w:r>
              <w:rPr>
                <w:rFonts w:hint="eastAsia" w:ascii="Times New Roman" w:hAnsi="Times New Roman" w:eastAsia="宋体" w:cs="宋体"/>
                <w:kern w:val="0"/>
                <w:sz w:val="20"/>
                <w:szCs w:val="20"/>
              </w:rPr>
              <w:t>1</w:t>
            </w:r>
            <w:r>
              <w:rPr>
                <w:rFonts w:hint="eastAsia" w:ascii="宋体" w:hAnsi="宋体" w:eastAsia="宋体" w:cs="宋体"/>
                <w:kern w:val="0"/>
                <w:sz w:val="20"/>
                <w:szCs w:val="20"/>
              </w:rPr>
              <w:t>.第一轮“一流大学”建设高校全日制本科毕业生；</w:t>
            </w:r>
            <w:r>
              <w:rPr>
                <w:rFonts w:hint="eastAsia" w:ascii="宋体" w:hAnsi="宋体" w:eastAsia="宋体" w:cs="宋体"/>
                <w:kern w:val="0"/>
                <w:sz w:val="20"/>
                <w:szCs w:val="20"/>
              </w:rPr>
              <w:br w:type="textWrapping"/>
            </w:r>
            <w:r>
              <w:rPr>
                <w:rFonts w:hint="eastAsia" w:ascii="Times New Roman" w:hAnsi="Times New Roman" w:eastAsia="宋体" w:cs="宋体"/>
                <w:kern w:val="0"/>
                <w:sz w:val="20"/>
                <w:szCs w:val="20"/>
              </w:rPr>
              <w:t>2</w:t>
            </w:r>
            <w:r>
              <w:rPr>
                <w:rFonts w:hint="eastAsia" w:ascii="宋体" w:hAnsi="宋体" w:eastAsia="宋体" w:cs="宋体"/>
                <w:kern w:val="0"/>
                <w:sz w:val="20"/>
                <w:szCs w:val="20"/>
              </w:rPr>
              <w:t>.第一轮“一流大学”建设高校、第二轮“双一流”建设高校全日制硕士研究生及以上学历毕业生（本科须为第二轮“双一流”建设高校全日制毕业生）。</w:t>
            </w:r>
          </w:p>
        </w:tc>
        <w:tc>
          <w:tcPr>
            <w:tcW w:w="553" w:type="pct"/>
            <w:vMerge w:val="restart"/>
            <w:tcBorders>
              <w:top w:val="single" w:color="auto" w:sz="8"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color w:val="auto"/>
                <w:kern w:val="0"/>
                <w:sz w:val="20"/>
                <w:szCs w:val="20"/>
                <w:u w:val="none"/>
              </w:rPr>
            </w:pPr>
            <w:r>
              <w:rPr>
                <w:rFonts w:hint="default" w:ascii="Times New Roman" w:hAnsi="Times New Roman" w:eastAsia="宋体" w:cs="Times New Roman"/>
                <w:kern w:val="0"/>
                <w:sz w:val="20"/>
                <w:szCs w:val="20"/>
              </w:rPr>
              <w:t>报名网址：</w:t>
            </w:r>
            <w:r>
              <w:rPr>
                <w:rFonts w:hint="default" w:ascii="Times New Roman" w:hAnsi="Times New Roman" w:eastAsia="宋体" w:cs="Times New Roman"/>
                <w:color w:val="auto"/>
                <w:kern w:val="0"/>
                <w:sz w:val="20"/>
                <w:szCs w:val="20"/>
                <w:u w:val="none"/>
              </w:rPr>
              <w:fldChar w:fldCharType="begin"/>
            </w:r>
            <w:r>
              <w:rPr>
                <w:rFonts w:hint="default" w:ascii="Times New Roman" w:hAnsi="Times New Roman" w:eastAsia="宋体" w:cs="Times New Roman"/>
                <w:color w:val="auto"/>
                <w:kern w:val="0"/>
                <w:sz w:val="20"/>
                <w:szCs w:val="20"/>
                <w:u w:val="none"/>
              </w:rPr>
              <w:instrText xml:space="preserve"> HYPERLINK "http://www.tzjob.com" </w:instrText>
            </w:r>
            <w:r>
              <w:rPr>
                <w:rFonts w:hint="default" w:ascii="Times New Roman" w:hAnsi="Times New Roman" w:eastAsia="宋体" w:cs="Times New Roman"/>
                <w:color w:val="auto"/>
                <w:kern w:val="0"/>
                <w:sz w:val="20"/>
                <w:szCs w:val="20"/>
                <w:u w:val="none"/>
              </w:rPr>
              <w:fldChar w:fldCharType="separate"/>
            </w:r>
            <w:r>
              <w:rPr>
                <w:rStyle w:val="6"/>
                <w:rFonts w:hint="default" w:ascii="Times New Roman" w:hAnsi="Times New Roman" w:eastAsia="宋体" w:cs="Times New Roman"/>
                <w:color w:val="auto"/>
                <w:kern w:val="0"/>
                <w:sz w:val="20"/>
                <w:szCs w:val="20"/>
                <w:u w:val="none"/>
              </w:rPr>
              <w:t>www.tzjob.com</w:t>
            </w:r>
            <w:r>
              <w:rPr>
                <w:rFonts w:hint="default" w:ascii="Times New Roman" w:hAnsi="Times New Roman" w:eastAsia="宋体" w:cs="Times New Roman"/>
                <w:color w:val="auto"/>
                <w:kern w:val="0"/>
                <w:sz w:val="20"/>
                <w:szCs w:val="20"/>
                <w:u w:val="none"/>
              </w:rPr>
              <w:fldChar w:fldCharType="end"/>
            </w:r>
          </w:p>
          <w:p>
            <w:pPr>
              <w:widowControl/>
              <w:spacing w:line="240" w:lineRule="exact"/>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xml:space="preserve">电子邮箱：jyj89118221@sina.com </w:t>
            </w:r>
            <w:r>
              <w:rPr>
                <w:rFonts w:hint="default" w:ascii="Times New Roman" w:hAnsi="Times New Roman" w:eastAsia="宋体" w:cs="Times New Roman"/>
                <w:kern w:val="0"/>
                <w:sz w:val="20"/>
                <w:szCs w:val="20"/>
              </w:rPr>
              <w:br w:type="textWrapping"/>
            </w:r>
            <w:r>
              <w:rPr>
                <w:rFonts w:hint="default" w:ascii="Times New Roman" w:hAnsi="Times New Roman" w:eastAsia="宋体" w:cs="Times New Roman"/>
                <w:kern w:val="0"/>
                <w:sz w:val="20"/>
                <w:szCs w:val="20"/>
              </w:rPr>
              <w:t>咨询电话：0523-89118221</w:t>
            </w:r>
          </w:p>
        </w:tc>
        <w:tc>
          <w:tcPr>
            <w:tcW w:w="185" w:type="pct"/>
            <w:vMerge w:val="restart"/>
            <w:tcBorders>
              <w:top w:val="single" w:color="auto" w:sz="8"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Times New Roman" w:hAnsi="Times New Roman" w:eastAsia="宋体" w:cs="宋体"/>
                <w:kern w:val="0"/>
                <w:sz w:val="20"/>
                <w:szCs w:val="20"/>
              </w:rPr>
              <w:t>3</w:t>
            </w:r>
          </w:p>
        </w:tc>
        <w:tc>
          <w:tcPr>
            <w:tcW w:w="276" w:type="pct"/>
            <w:vMerge w:val="restart"/>
            <w:tcBorders>
              <w:top w:val="single" w:color="auto" w:sz="8"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面试：模拟上课、答辩、专业技能测试</w:t>
            </w:r>
          </w:p>
        </w:tc>
        <w:tc>
          <w:tcPr>
            <w:tcW w:w="561" w:type="pct"/>
            <w:vMerge w:val="restart"/>
            <w:tcBorders>
              <w:top w:val="single" w:color="auto" w:sz="8" w:space="0"/>
              <w:left w:val="single" w:color="auto" w:sz="4" w:space="0"/>
              <w:bottom w:val="single" w:color="auto" w:sz="4" w:space="0"/>
              <w:right w:val="single" w:color="auto" w:sz="8" w:space="0"/>
            </w:tcBorders>
            <w:shd w:val="clear" w:color="auto" w:fill="auto"/>
            <w:tcMar>
              <w:top w:w="28" w:type="dxa"/>
              <w:left w:w="57" w:type="dxa"/>
              <w:bottom w:w="28" w:type="dxa"/>
              <w:right w:w="57" w:type="dxa"/>
            </w:tcMar>
            <w:vAlign w:val="center"/>
          </w:tcPr>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根据《“马洲英才计划”教育人才引进培育管理实施办法》，符合条件的博士研究生每人发放</w:t>
            </w:r>
            <w:r>
              <w:rPr>
                <w:rFonts w:hint="eastAsia" w:ascii="Times New Roman" w:hAnsi="Times New Roman" w:eastAsia="宋体" w:cs="宋体"/>
                <w:color w:val="000000"/>
                <w:kern w:val="0"/>
                <w:sz w:val="20"/>
                <w:szCs w:val="20"/>
              </w:rPr>
              <w:t>60</w:t>
            </w:r>
            <w:r>
              <w:rPr>
                <w:rFonts w:hint="eastAsia" w:ascii="宋体" w:hAnsi="宋体" w:eastAsia="宋体" w:cs="宋体"/>
                <w:color w:val="000000"/>
                <w:kern w:val="0"/>
                <w:sz w:val="20"/>
                <w:szCs w:val="20"/>
              </w:rPr>
              <w:t>万元安家补贴，硕士研究生每人发放</w:t>
            </w:r>
            <w:r>
              <w:rPr>
                <w:rFonts w:hint="eastAsia" w:ascii="Times New Roman" w:hAnsi="Times New Roman" w:eastAsia="宋体" w:cs="宋体"/>
                <w:color w:val="000000"/>
                <w:kern w:val="0"/>
                <w:sz w:val="20"/>
                <w:szCs w:val="20"/>
              </w:rPr>
              <w:t>40</w:t>
            </w:r>
            <w:r>
              <w:rPr>
                <w:rFonts w:hint="eastAsia" w:ascii="宋体" w:hAnsi="宋体" w:eastAsia="宋体" w:cs="宋体"/>
                <w:color w:val="000000"/>
                <w:kern w:val="0"/>
                <w:sz w:val="20"/>
                <w:szCs w:val="20"/>
              </w:rPr>
              <w:t>万元安家补贴，本科生每人发放</w:t>
            </w:r>
            <w:r>
              <w:rPr>
                <w:rFonts w:hint="eastAsia" w:ascii="Times New Roman" w:hAnsi="Times New Roman" w:eastAsia="宋体" w:cs="宋体"/>
                <w:color w:val="000000"/>
                <w:kern w:val="0"/>
                <w:sz w:val="20"/>
                <w:szCs w:val="20"/>
              </w:rPr>
              <w:t>10</w:t>
            </w:r>
            <w:r>
              <w:rPr>
                <w:rFonts w:hint="eastAsia" w:ascii="宋体" w:hAnsi="宋体" w:eastAsia="宋体" w:cs="宋体"/>
                <w:color w:val="000000"/>
                <w:kern w:val="0"/>
                <w:sz w:val="20"/>
                <w:szCs w:val="20"/>
              </w:rPr>
              <w:t>万元安家补贴。生活补贴发放期限为</w:t>
            </w:r>
            <w:r>
              <w:rPr>
                <w:rFonts w:hint="eastAsia" w:ascii="Times New Roman" w:hAnsi="Times New Roman" w:eastAsia="宋体" w:cs="宋体"/>
                <w:color w:val="000000"/>
                <w:kern w:val="0"/>
                <w:sz w:val="20"/>
                <w:szCs w:val="20"/>
              </w:rPr>
              <w:t>3</w:t>
            </w:r>
            <w:r>
              <w:rPr>
                <w:rFonts w:hint="eastAsia" w:ascii="宋体" w:hAnsi="宋体" w:eastAsia="宋体" w:cs="宋体"/>
                <w:color w:val="000000"/>
                <w:kern w:val="0"/>
                <w:sz w:val="20"/>
                <w:szCs w:val="20"/>
              </w:rPr>
              <w:t>年，标准为博士研究生</w:t>
            </w:r>
            <w:r>
              <w:rPr>
                <w:rFonts w:hint="eastAsia" w:ascii="Times New Roman" w:hAnsi="Times New Roman" w:eastAsia="宋体" w:cs="宋体"/>
                <w:color w:val="000000"/>
                <w:kern w:val="0"/>
                <w:sz w:val="20"/>
                <w:szCs w:val="20"/>
              </w:rPr>
              <w:t>2</w:t>
            </w:r>
            <w:r>
              <w:rPr>
                <w:rFonts w:hint="eastAsia" w:ascii="宋体" w:hAnsi="宋体" w:eastAsia="宋体" w:cs="宋体"/>
                <w:color w:val="000000"/>
                <w:kern w:val="0"/>
                <w:sz w:val="20"/>
                <w:szCs w:val="20"/>
              </w:rPr>
              <w:t>万元/年、硕士研究生</w:t>
            </w:r>
            <w:r>
              <w:rPr>
                <w:rFonts w:hint="eastAsia" w:ascii="Times New Roman" w:hAnsi="Times New Roman" w:eastAsia="宋体" w:cs="宋体"/>
                <w:color w:val="000000"/>
                <w:kern w:val="0"/>
                <w:sz w:val="20"/>
                <w:szCs w:val="20"/>
              </w:rPr>
              <w:t>1</w:t>
            </w:r>
            <w:r>
              <w:rPr>
                <w:rFonts w:hint="eastAsia" w:ascii="宋体" w:hAnsi="宋体" w:eastAsia="宋体" w:cs="宋体"/>
                <w:color w:val="000000"/>
                <w:kern w:val="0"/>
                <w:sz w:val="20"/>
                <w:szCs w:val="20"/>
              </w:rPr>
              <w:t>万元/年。</w:t>
            </w:r>
          </w:p>
        </w:tc>
      </w:tr>
      <w:tr>
        <w:tblPrEx>
          <w:tblCellMar>
            <w:top w:w="0" w:type="dxa"/>
            <w:left w:w="108" w:type="dxa"/>
            <w:bottom w:w="0" w:type="dxa"/>
            <w:right w:w="108" w:type="dxa"/>
          </w:tblCellMar>
        </w:tblPrEx>
        <w:trPr>
          <w:trHeight w:val="2041" w:hRule="atLeast"/>
          <w:jc w:val="center"/>
        </w:trPr>
        <w:tc>
          <w:tcPr>
            <w:tcW w:w="285" w:type="pct"/>
            <w:tcBorders>
              <w:top w:val="single" w:color="auto" w:sz="4" w:space="0"/>
              <w:left w:val="single" w:color="auto" w:sz="8"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靖江市</w:t>
            </w:r>
          </w:p>
        </w:tc>
        <w:tc>
          <w:tcPr>
            <w:tcW w:w="191"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3C</w:t>
            </w:r>
          </w:p>
        </w:tc>
        <w:tc>
          <w:tcPr>
            <w:tcW w:w="316"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江苏省</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靖江中学</w:t>
            </w:r>
          </w:p>
        </w:tc>
        <w:tc>
          <w:tcPr>
            <w:tcW w:w="230"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3C-2</w:t>
            </w:r>
          </w:p>
        </w:tc>
        <w:tc>
          <w:tcPr>
            <w:tcW w:w="369"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从事高中物理教学及管理工作</w:t>
            </w:r>
          </w:p>
        </w:tc>
        <w:tc>
          <w:tcPr>
            <w:tcW w:w="185"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w:t>
            </w:r>
          </w:p>
        </w:tc>
        <w:tc>
          <w:tcPr>
            <w:tcW w:w="323"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本科</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及以上</w:t>
            </w:r>
          </w:p>
        </w:tc>
        <w:tc>
          <w:tcPr>
            <w:tcW w:w="672"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不限</w:t>
            </w:r>
          </w:p>
        </w:tc>
        <w:tc>
          <w:tcPr>
            <w:tcW w:w="849" w:type="pct"/>
            <w:vMerge w:val="continue"/>
            <w:tcBorders>
              <w:top w:val="single" w:color="auto" w:sz="4" w:space="0"/>
              <w:left w:val="single" w:color="auto" w:sz="4" w:space="0"/>
              <w:bottom w:val="single" w:color="auto" w:sz="4" w:space="0"/>
              <w:right w:val="single" w:color="auto" w:sz="4" w:space="0"/>
            </w:tcBorders>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553" w:type="pct"/>
            <w:vMerge w:val="continue"/>
            <w:tcBorders>
              <w:top w:val="single" w:color="auto" w:sz="4" w:space="0"/>
              <w:left w:val="single" w:color="auto" w:sz="4" w:space="0"/>
              <w:bottom w:val="single" w:color="auto" w:sz="4" w:space="0"/>
              <w:right w:val="single" w:color="auto" w:sz="4" w:space="0"/>
            </w:tcBorders>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kern w:val="0"/>
                <w:sz w:val="20"/>
                <w:szCs w:val="20"/>
              </w:rPr>
            </w:pPr>
          </w:p>
        </w:tc>
        <w:tc>
          <w:tcPr>
            <w:tcW w:w="185" w:type="pct"/>
            <w:vMerge w:val="continue"/>
            <w:tcBorders>
              <w:top w:val="single" w:color="auto" w:sz="4" w:space="0"/>
              <w:left w:val="single" w:color="auto" w:sz="4" w:space="0"/>
              <w:bottom w:val="single" w:color="auto" w:sz="4" w:space="0"/>
              <w:right w:val="single" w:color="auto" w:sz="4" w:space="0"/>
            </w:tcBorders>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276" w:type="pct"/>
            <w:vMerge w:val="continue"/>
            <w:tcBorders>
              <w:top w:val="single" w:color="auto" w:sz="4" w:space="0"/>
              <w:left w:val="single" w:color="auto" w:sz="4" w:space="0"/>
              <w:bottom w:val="single" w:color="auto" w:sz="4" w:space="0"/>
              <w:right w:val="single" w:color="auto" w:sz="4" w:space="0"/>
            </w:tcBorders>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561" w:type="pct"/>
            <w:vMerge w:val="continue"/>
            <w:tcBorders>
              <w:top w:val="single" w:color="auto" w:sz="4" w:space="0"/>
              <w:left w:val="single" w:color="auto" w:sz="4" w:space="0"/>
              <w:bottom w:val="single" w:color="auto" w:sz="4" w:space="0"/>
              <w:right w:val="single" w:color="auto" w:sz="8" w:space="0"/>
            </w:tcBorders>
            <w:tcMar>
              <w:top w:w="28" w:type="dxa"/>
              <w:left w:w="57" w:type="dxa"/>
              <w:bottom w:w="28" w:type="dxa"/>
              <w:right w:w="57" w:type="dxa"/>
            </w:tcMar>
            <w:vAlign w:val="center"/>
          </w:tcPr>
          <w:p>
            <w:pPr>
              <w:widowControl/>
              <w:spacing w:line="240" w:lineRule="exact"/>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2041" w:hRule="atLeast"/>
          <w:jc w:val="center"/>
        </w:trPr>
        <w:tc>
          <w:tcPr>
            <w:tcW w:w="285" w:type="pct"/>
            <w:tcBorders>
              <w:top w:val="single" w:color="auto" w:sz="4" w:space="0"/>
              <w:left w:val="single" w:color="auto" w:sz="8"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靖江市</w:t>
            </w:r>
          </w:p>
        </w:tc>
        <w:tc>
          <w:tcPr>
            <w:tcW w:w="191"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3C</w:t>
            </w:r>
          </w:p>
        </w:tc>
        <w:tc>
          <w:tcPr>
            <w:tcW w:w="316"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江苏省</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靖江中学</w:t>
            </w:r>
          </w:p>
        </w:tc>
        <w:tc>
          <w:tcPr>
            <w:tcW w:w="230"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3C-3</w:t>
            </w:r>
          </w:p>
        </w:tc>
        <w:tc>
          <w:tcPr>
            <w:tcW w:w="369"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从事高中历史教学及管理工作</w:t>
            </w:r>
          </w:p>
        </w:tc>
        <w:tc>
          <w:tcPr>
            <w:tcW w:w="185"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w:t>
            </w:r>
          </w:p>
        </w:tc>
        <w:tc>
          <w:tcPr>
            <w:tcW w:w="323"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本科</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及以上</w:t>
            </w:r>
          </w:p>
        </w:tc>
        <w:tc>
          <w:tcPr>
            <w:tcW w:w="672"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不限</w:t>
            </w:r>
          </w:p>
        </w:tc>
        <w:tc>
          <w:tcPr>
            <w:tcW w:w="849" w:type="pct"/>
            <w:vMerge w:val="continue"/>
            <w:tcBorders>
              <w:top w:val="single" w:color="auto" w:sz="4" w:space="0"/>
              <w:left w:val="single" w:color="auto" w:sz="4" w:space="0"/>
              <w:bottom w:val="single" w:color="auto" w:sz="4" w:space="0"/>
              <w:right w:val="single" w:color="auto" w:sz="4" w:space="0"/>
            </w:tcBorders>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553" w:type="pct"/>
            <w:vMerge w:val="continue"/>
            <w:tcBorders>
              <w:top w:val="single" w:color="auto" w:sz="4" w:space="0"/>
              <w:left w:val="single" w:color="auto" w:sz="4" w:space="0"/>
              <w:bottom w:val="single" w:color="auto" w:sz="4" w:space="0"/>
              <w:right w:val="single" w:color="auto" w:sz="4" w:space="0"/>
            </w:tcBorders>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kern w:val="0"/>
                <w:sz w:val="20"/>
                <w:szCs w:val="20"/>
              </w:rPr>
            </w:pPr>
          </w:p>
        </w:tc>
        <w:tc>
          <w:tcPr>
            <w:tcW w:w="185" w:type="pct"/>
            <w:vMerge w:val="continue"/>
            <w:tcBorders>
              <w:top w:val="single" w:color="auto" w:sz="4" w:space="0"/>
              <w:left w:val="single" w:color="auto" w:sz="4" w:space="0"/>
              <w:bottom w:val="single" w:color="auto" w:sz="4" w:space="0"/>
              <w:right w:val="single" w:color="auto" w:sz="4" w:space="0"/>
            </w:tcBorders>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276" w:type="pct"/>
            <w:vMerge w:val="continue"/>
            <w:tcBorders>
              <w:top w:val="single" w:color="auto" w:sz="4" w:space="0"/>
              <w:left w:val="single" w:color="auto" w:sz="4" w:space="0"/>
              <w:bottom w:val="single" w:color="auto" w:sz="4" w:space="0"/>
              <w:right w:val="single" w:color="auto" w:sz="4" w:space="0"/>
            </w:tcBorders>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561" w:type="pct"/>
            <w:vMerge w:val="continue"/>
            <w:tcBorders>
              <w:top w:val="single" w:color="auto" w:sz="4" w:space="0"/>
              <w:left w:val="single" w:color="auto" w:sz="4" w:space="0"/>
              <w:bottom w:val="single" w:color="auto" w:sz="4" w:space="0"/>
              <w:right w:val="single" w:color="auto" w:sz="8" w:space="0"/>
            </w:tcBorders>
            <w:tcMar>
              <w:top w:w="28" w:type="dxa"/>
              <w:left w:w="57" w:type="dxa"/>
              <w:bottom w:w="28" w:type="dxa"/>
              <w:right w:w="57" w:type="dxa"/>
            </w:tcMar>
            <w:vAlign w:val="center"/>
          </w:tcPr>
          <w:p>
            <w:pPr>
              <w:widowControl/>
              <w:spacing w:line="240" w:lineRule="exact"/>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2041" w:hRule="atLeast"/>
          <w:jc w:val="center"/>
        </w:trPr>
        <w:tc>
          <w:tcPr>
            <w:tcW w:w="285" w:type="pct"/>
            <w:tcBorders>
              <w:top w:val="single" w:color="auto" w:sz="4" w:space="0"/>
              <w:left w:val="single" w:color="auto" w:sz="8" w:space="0"/>
              <w:bottom w:val="single" w:color="auto" w:sz="8"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靖江市</w:t>
            </w:r>
          </w:p>
        </w:tc>
        <w:tc>
          <w:tcPr>
            <w:tcW w:w="191" w:type="pct"/>
            <w:tcBorders>
              <w:top w:val="single" w:color="auto" w:sz="4" w:space="0"/>
              <w:left w:val="single" w:color="auto" w:sz="4" w:space="0"/>
              <w:bottom w:val="single" w:color="auto" w:sz="8"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3C</w:t>
            </w:r>
          </w:p>
        </w:tc>
        <w:tc>
          <w:tcPr>
            <w:tcW w:w="316" w:type="pct"/>
            <w:tcBorders>
              <w:top w:val="single" w:color="auto" w:sz="4" w:space="0"/>
              <w:left w:val="single" w:color="auto" w:sz="4" w:space="0"/>
              <w:bottom w:val="single" w:color="auto" w:sz="8"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江苏省</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靖江中学</w:t>
            </w:r>
          </w:p>
        </w:tc>
        <w:tc>
          <w:tcPr>
            <w:tcW w:w="230" w:type="pct"/>
            <w:tcBorders>
              <w:top w:val="single" w:color="auto" w:sz="4" w:space="0"/>
              <w:left w:val="single" w:color="auto" w:sz="4" w:space="0"/>
              <w:bottom w:val="single" w:color="auto" w:sz="8"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3C-4</w:t>
            </w:r>
          </w:p>
        </w:tc>
        <w:tc>
          <w:tcPr>
            <w:tcW w:w="369" w:type="pct"/>
            <w:tcBorders>
              <w:top w:val="single" w:color="auto" w:sz="4" w:space="0"/>
              <w:left w:val="single" w:color="auto" w:sz="4" w:space="0"/>
              <w:bottom w:val="single" w:color="auto" w:sz="8"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从事高中生物教学及管理工作</w:t>
            </w:r>
          </w:p>
        </w:tc>
        <w:tc>
          <w:tcPr>
            <w:tcW w:w="185" w:type="pct"/>
            <w:tcBorders>
              <w:top w:val="single" w:color="auto" w:sz="4" w:space="0"/>
              <w:left w:val="single" w:color="auto" w:sz="4" w:space="0"/>
              <w:bottom w:val="single" w:color="auto" w:sz="8"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w:t>
            </w:r>
          </w:p>
        </w:tc>
        <w:tc>
          <w:tcPr>
            <w:tcW w:w="323" w:type="pct"/>
            <w:tcBorders>
              <w:top w:val="single" w:color="auto" w:sz="4" w:space="0"/>
              <w:left w:val="single" w:color="auto" w:sz="4" w:space="0"/>
              <w:bottom w:val="single" w:color="auto" w:sz="8"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本科</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及以上</w:t>
            </w:r>
          </w:p>
        </w:tc>
        <w:tc>
          <w:tcPr>
            <w:tcW w:w="672" w:type="pct"/>
            <w:tcBorders>
              <w:top w:val="single" w:color="auto" w:sz="4" w:space="0"/>
              <w:left w:val="single" w:color="auto" w:sz="4" w:space="0"/>
              <w:bottom w:val="single" w:color="auto" w:sz="8"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不限</w:t>
            </w:r>
          </w:p>
        </w:tc>
        <w:tc>
          <w:tcPr>
            <w:tcW w:w="849" w:type="pct"/>
            <w:vMerge w:val="continue"/>
            <w:tcBorders>
              <w:top w:val="single" w:color="auto" w:sz="4" w:space="0"/>
              <w:left w:val="single" w:color="auto" w:sz="4" w:space="0"/>
              <w:bottom w:val="single" w:color="auto" w:sz="8" w:space="0"/>
              <w:right w:val="single" w:color="auto" w:sz="4" w:space="0"/>
            </w:tcBorders>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553" w:type="pct"/>
            <w:vMerge w:val="continue"/>
            <w:tcBorders>
              <w:top w:val="single" w:color="auto" w:sz="4" w:space="0"/>
              <w:left w:val="single" w:color="auto" w:sz="4" w:space="0"/>
              <w:bottom w:val="single" w:color="auto" w:sz="8" w:space="0"/>
              <w:right w:val="single" w:color="auto" w:sz="4" w:space="0"/>
            </w:tcBorders>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kern w:val="0"/>
                <w:sz w:val="20"/>
                <w:szCs w:val="20"/>
              </w:rPr>
            </w:pPr>
          </w:p>
        </w:tc>
        <w:tc>
          <w:tcPr>
            <w:tcW w:w="185" w:type="pct"/>
            <w:vMerge w:val="continue"/>
            <w:tcBorders>
              <w:top w:val="single" w:color="auto" w:sz="4" w:space="0"/>
              <w:left w:val="single" w:color="auto" w:sz="4" w:space="0"/>
              <w:bottom w:val="single" w:color="auto" w:sz="8" w:space="0"/>
              <w:right w:val="single" w:color="auto" w:sz="4" w:space="0"/>
            </w:tcBorders>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276" w:type="pct"/>
            <w:vMerge w:val="continue"/>
            <w:tcBorders>
              <w:top w:val="single" w:color="auto" w:sz="4" w:space="0"/>
              <w:left w:val="single" w:color="auto" w:sz="4" w:space="0"/>
              <w:bottom w:val="single" w:color="auto" w:sz="8" w:space="0"/>
              <w:right w:val="single" w:color="auto" w:sz="4" w:space="0"/>
            </w:tcBorders>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561" w:type="pct"/>
            <w:vMerge w:val="continue"/>
            <w:tcBorders>
              <w:top w:val="single" w:color="auto" w:sz="4" w:space="0"/>
              <w:left w:val="single" w:color="auto" w:sz="4" w:space="0"/>
              <w:bottom w:val="single" w:color="auto" w:sz="8" w:space="0"/>
              <w:right w:val="single" w:color="auto" w:sz="8" w:space="0"/>
            </w:tcBorders>
            <w:tcMar>
              <w:top w:w="28" w:type="dxa"/>
              <w:left w:w="57" w:type="dxa"/>
              <w:bottom w:w="28" w:type="dxa"/>
              <w:right w:w="57" w:type="dxa"/>
            </w:tcMar>
            <w:vAlign w:val="center"/>
          </w:tcPr>
          <w:p>
            <w:pPr>
              <w:widowControl/>
              <w:spacing w:line="240" w:lineRule="exact"/>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2722" w:hRule="atLeast"/>
          <w:jc w:val="center"/>
        </w:trPr>
        <w:tc>
          <w:tcPr>
            <w:tcW w:w="285" w:type="pct"/>
            <w:tcBorders>
              <w:top w:val="single" w:color="auto" w:sz="8" w:space="0"/>
              <w:left w:val="single" w:color="auto" w:sz="8"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泰兴市</w:t>
            </w:r>
          </w:p>
        </w:tc>
        <w:tc>
          <w:tcPr>
            <w:tcW w:w="191" w:type="pct"/>
            <w:tcBorders>
              <w:top w:val="single" w:color="auto" w:sz="8"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4C</w:t>
            </w:r>
          </w:p>
        </w:tc>
        <w:tc>
          <w:tcPr>
            <w:tcW w:w="316" w:type="pct"/>
            <w:tcBorders>
              <w:top w:val="single" w:color="auto" w:sz="8"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Times New Roman"/>
                <w:color w:val="000000"/>
                <w:kern w:val="0"/>
                <w:sz w:val="20"/>
                <w:szCs w:val="20"/>
              </w:rPr>
            </w:pPr>
            <w:r>
              <w:rPr>
                <w:rFonts w:hint="eastAsia" w:ascii="宋体" w:hAnsi="宋体" w:eastAsia="宋体" w:cs="Times New Roman"/>
                <w:color w:val="000000"/>
                <w:kern w:val="0"/>
                <w:sz w:val="20"/>
                <w:szCs w:val="20"/>
              </w:rPr>
              <w:t>江苏省</w:t>
            </w:r>
          </w:p>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泰兴中学</w:t>
            </w:r>
          </w:p>
        </w:tc>
        <w:tc>
          <w:tcPr>
            <w:tcW w:w="230" w:type="pct"/>
            <w:tcBorders>
              <w:top w:val="single" w:color="auto" w:sz="8"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4C-1</w:t>
            </w:r>
          </w:p>
        </w:tc>
        <w:tc>
          <w:tcPr>
            <w:tcW w:w="369" w:type="pct"/>
            <w:tcBorders>
              <w:top w:val="single" w:color="auto" w:sz="8"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从事高中物理学科竞赛辅导和创新人才培养工作</w:t>
            </w:r>
          </w:p>
        </w:tc>
        <w:tc>
          <w:tcPr>
            <w:tcW w:w="185" w:type="pct"/>
            <w:tcBorders>
              <w:top w:val="single" w:color="auto" w:sz="8"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w:t>
            </w:r>
          </w:p>
        </w:tc>
        <w:tc>
          <w:tcPr>
            <w:tcW w:w="323" w:type="pct"/>
            <w:tcBorders>
              <w:top w:val="single" w:color="auto" w:sz="8"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Times New Roman"/>
                <w:kern w:val="0"/>
                <w:sz w:val="20"/>
                <w:szCs w:val="20"/>
              </w:rPr>
            </w:pPr>
            <w:r>
              <w:rPr>
                <w:rFonts w:hint="eastAsia" w:ascii="宋体" w:hAnsi="宋体" w:eastAsia="宋体" w:cs="Times New Roman"/>
                <w:kern w:val="0"/>
                <w:sz w:val="20"/>
                <w:szCs w:val="20"/>
              </w:rPr>
              <w:t>本科</w:t>
            </w:r>
          </w:p>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及以上</w:t>
            </w:r>
          </w:p>
        </w:tc>
        <w:tc>
          <w:tcPr>
            <w:tcW w:w="672" w:type="pct"/>
            <w:tcBorders>
              <w:top w:val="single" w:color="auto" w:sz="8"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物理及相关专业</w:t>
            </w:r>
          </w:p>
        </w:tc>
        <w:tc>
          <w:tcPr>
            <w:tcW w:w="849" w:type="pct"/>
            <w:vMerge w:val="restart"/>
            <w:tcBorders>
              <w:top w:val="single" w:color="auto" w:sz="8"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rPr>
                <w:rFonts w:hint="eastAsia" w:ascii="Times New Roman" w:hAnsi="Times New Roman" w:eastAsia="宋体" w:cs="Times New Roman"/>
                <w:kern w:val="0"/>
                <w:sz w:val="20"/>
                <w:szCs w:val="20"/>
              </w:rPr>
            </w:pPr>
            <w:r>
              <w:rPr>
                <w:rFonts w:hint="eastAsia" w:ascii="Times New Roman" w:hAnsi="Times New Roman" w:eastAsia="宋体" w:cs="Times New Roman"/>
                <w:kern w:val="0"/>
                <w:sz w:val="20"/>
                <w:szCs w:val="20"/>
              </w:rPr>
              <w:t>1.C9重点高校（清华大学、北京大学、复旦大学、上海交通大学、南京大学、浙江大学、中国科学技术大学、哈尔滨工业大学、西安交通大学，下同）全日制本科学历毕业生；</w:t>
            </w:r>
          </w:p>
          <w:p>
            <w:pPr>
              <w:widowControl/>
              <w:spacing w:line="240" w:lineRule="exact"/>
              <w:rPr>
                <w:rFonts w:hint="eastAsia" w:ascii="Times New Roman" w:hAnsi="Times New Roman" w:eastAsia="宋体" w:cs="Times New Roman"/>
                <w:kern w:val="0"/>
                <w:sz w:val="20"/>
                <w:szCs w:val="20"/>
              </w:rPr>
            </w:pPr>
            <w:r>
              <w:rPr>
                <w:rFonts w:hint="eastAsia" w:ascii="Times New Roman" w:hAnsi="Times New Roman" w:eastAsia="宋体" w:cs="Times New Roman"/>
                <w:kern w:val="0"/>
                <w:sz w:val="20"/>
                <w:szCs w:val="20"/>
              </w:rPr>
              <w:t>2.C9重点高校全日制硕士研究生及以上学历毕业生（本科阶段须为第二轮“双一流”建设高校全日制毕业生，且本科和研究生阶段所学专业均须为选聘相关专业）；</w:t>
            </w:r>
          </w:p>
          <w:p>
            <w:pPr>
              <w:widowControl/>
              <w:spacing w:line="240" w:lineRule="exact"/>
              <w:rPr>
                <w:rFonts w:hint="eastAsia" w:ascii="Times New Roman" w:hAnsi="Times New Roman" w:eastAsia="宋体" w:cs="Times New Roman"/>
                <w:kern w:val="0"/>
                <w:sz w:val="20"/>
                <w:szCs w:val="20"/>
              </w:rPr>
            </w:pPr>
            <w:r>
              <w:rPr>
                <w:rFonts w:hint="eastAsia" w:ascii="Times New Roman" w:hAnsi="Times New Roman" w:eastAsia="宋体" w:cs="Times New Roman"/>
                <w:kern w:val="0"/>
                <w:sz w:val="20"/>
                <w:szCs w:val="20"/>
              </w:rPr>
              <w:t>3.高中及以上阶段须获得省级以上相应学科竞赛奖项；</w:t>
            </w:r>
          </w:p>
          <w:p>
            <w:pPr>
              <w:widowControl/>
              <w:spacing w:line="240" w:lineRule="exac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4.须取得高中相应学科教师资格证（暂未取得的须在入职2年内取得）。</w:t>
            </w:r>
          </w:p>
        </w:tc>
        <w:tc>
          <w:tcPr>
            <w:tcW w:w="553" w:type="pct"/>
            <w:vMerge w:val="restart"/>
            <w:tcBorders>
              <w:top w:val="single" w:color="auto" w:sz="8"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color w:val="auto"/>
                <w:kern w:val="0"/>
                <w:sz w:val="20"/>
                <w:szCs w:val="20"/>
                <w:u w:val="none"/>
              </w:rPr>
            </w:pPr>
            <w:r>
              <w:rPr>
                <w:rFonts w:hint="default" w:ascii="Times New Roman" w:hAnsi="Times New Roman" w:eastAsia="宋体" w:cs="Times New Roman"/>
                <w:kern w:val="0"/>
                <w:sz w:val="20"/>
                <w:szCs w:val="20"/>
              </w:rPr>
              <w:t>报名网址：</w:t>
            </w:r>
            <w:r>
              <w:rPr>
                <w:rFonts w:hint="default" w:ascii="Times New Roman" w:hAnsi="Times New Roman" w:eastAsia="宋体" w:cs="Times New Roman"/>
                <w:color w:val="auto"/>
                <w:kern w:val="0"/>
                <w:sz w:val="20"/>
                <w:szCs w:val="20"/>
                <w:u w:val="none"/>
              </w:rPr>
              <w:fldChar w:fldCharType="begin"/>
            </w:r>
            <w:r>
              <w:rPr>
                <w:rFonts w:hint="default" w:ascii="Times New Roman" w:hAnsi="Times New Roman" w:eastAsia="宋体" w:cs="Times New Roman"/>
                <w:color w:val="auto"/>
                <w:kern w:val="0"/>
                <w:sz w:val="20"/>
                <w:szCs w:val="20"/>
                <w:u w:val="none"/>
              </w:rPr>
              <w:instrText xml:space="preserve"> HYPERLINK "http://www.tzjob.com" </w:instrText>
            </w:r>
            <w:r>
              <w:rPr>
                <w:rFonts w:hint="default" w:ascii="Times New Roman" w:hAnsi="Times New Roman" w:eastAsia="宋体" w:cs="Times New Roman"/>
                <w:color w:val="auto"/>
                <w:kern w:val="0"/>
                <w:sz w:val="20"/>
                <w:szCs w:val="20"/>
                <w:u w:val="none"/>
              </w:rPr>
              <w:fldChar w:fldCharType="separate"/>
            </w:r>
            <w:r>
              <w:rPr>
                <w:rStyle w:val="6"/>
                <w:rFonts w:hint="default" w:ascii="Times New Roman" w:hAnsi="Times New Roman" w:eastAsia="宋体" w:cs="Times New Roman"/>
                <w:color w:val="auto"/>
                <w:kern w:val="0"/>
                <w:sz w:val="20"/>
                <w:szCs w:val="20"/>
                <w:u w:val="none"/>
              </w:rPr>
              <w:t>www.tzjob.com</w:t>
            </w:r>
            <w:r>
              <w:rPr>
                <w:rFonts w:hint="default" w:ascii="Times New Roman" w:hAnsi="Times New Roman" w:eastAsia="宋体" w:cs="Times New Roman"/>
                <w:color w:val="auto"/>
                <w:kern w:val="0"/>
                <w:sz w:val="20"/>
                <w:szCs w:val="20"/>
                <w:u w:val="none"/>
              </w:rPr>
              <w:fldChar w:fldCharType="end"/>
            </w:r>
          </w:p>
          <w:p>
            <w:pPr>
              <w:widowControl/>
              <w:spacing w:line="240" w:lineRule="exact"/>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电子邮箱：txzzbghb@126.com</w:t>
            </w:r>
          </w:p>
          <w:p>
            <w:pPr>
              <w:widowControl/>
              <w:spacing w:line="240" w:lineRule="exact"/>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咨询电话：</w:t>
            </w:r>
          </w:p>
          <w:p>
            <w:pPr>
              <w:widowControl/>
              <w:spacing w:line="240" w:lineRule="exact"/>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13512550991；</w:t>
            </w:r>
          </w:p>
          <w:p>
            <w:pPr>
              <w:widowControl/>
              <w:spacing w:line="240" w:lineRule="exact"/>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18994713397。</w:t>
            </w:r>
          </w:p>
        </w:tc>
        <w:tc>
          <w:tcPr>
            <w:tcW w:w="185" w:type="pct"/>
            <w:vMerge w:val="restart"/>
            <w:tcBorders>
              <w:top w:val="single" w:color="auto" w:sz="8"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276" w:type="pct"/>
            <w:vMerge w:val="restart"/>
            <w:tcBorders>
              <w:top w:val="single" w:color="auto" w:sz="8"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综评+面试</w:t>
            </w:r>
          </w:p>
        </w:tc>
        <w:tc>
          <w:tcPr>
            <w:tcW w:w="561" w:type="pct"/>
            <w:vMerge w:val="restart"/>
            <w:tcBorders>
              <w:top w:val="single" w:color="auto" w:sz="8" w:space="0"/>
              <w:left w:val="single" w:color="auto" w:sz="4" w:space="0"/>
              <w:bottom w:val="single" w:color="auto" w:sz="4" w:space="0"/>
              <w:right w:val="single" w:color="auto" w:sz="8" w:space="0"/>
            </w:tcBorders>
            <w:shd w:val="clear" w:color="auto" w:fill="auto"/>
            <w:tcMar>
              <w:top w:w="28" w:type="dxa"/>
              <w:left w:w="57" w:type="dxa"/>
              <w:bottom w:w="28" w:type="dxa"/>
              <w:right w:w="57" w:type="dxa"/>
            </w:tcMar>
            <w:vAlign w:val="center"/>
          </w:tcPr>
          <w:p>
            <w:pPr>
              <w:widowControl/>
              <w:spacing w:line="240" w:lineRule="exact"/>
              <w:rPr>
                <w:rFonts w:hint="eastAsia"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1.本科生、硕士研究生、博士研究生（按符合招聘要求的最高学历，下同）年薪分别不低于40万元、50万元、60万元（包含个人需缴纳的医保费用、养老保险、职业年金、住房公积金和个人所得税）；试用期满考核合格的，分别发放一次性入职奖励15万元、20万元、30万元；工作满5年且业绩突出者给予最高100万元优才补贴（含5年内的奖金）；</w:t>
            </w:r>
          </w:p>
          <w:p>
            <w:pPr>
              <w:widowControl/>
              <w:spacing w:line="240" w:lineRule="exac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2.免费居住人才公寓（或给予租房补贴）3年，享受“购房券”待遇，本科生、硕士研究生、博士研究生发放标准分别为8万元、15万元、25万元。</w:t>
            </w:r>
          </w:p>
        </w:tc>
      </w:tr>
      <w:tr>
        <w:tblPrEx>
          <w:tblCellMar>
            <w:top w:w="0" w:type="dxa"/>
            <w:left w:w="108" w:type="dxa"/>
            <w:bottom w:w="0" w:type="dxa"/>
            <w:right w:w="108" w:type="dxa"/>
          </w:tblCellMar>
        </w:tblPrEx>
        <w:trPr>
          <w:trHeight w:val="2722" w:hRule="atLeast"/>
          <w:jc w:val="center"/>
        </w:trPr>
        <w:tc>
          <w:tcPr>
            <w:tcW w:w="285" w:type="pct"/>
            <w:tcBorders>
              <w:top w:val="single" w:color="auto" w:sz="4" w:space="0"/>
              <w:left w:val="single" w:color="auto" w:sz="8"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泰兴市</w:t>
            </w:r>
          </w:p>
        </w:tc>
        <w:tc>
          <w:tcPr>
            <w:tcW w:w="191"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4C</w:t>
            </w:r>
          </w:p>
        </w:tc>
        <w:tc>
          <w:tcPr>
            <w:tcW w:w="316"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Times New Roman"/>
                <w:color w:val="000000"/>
                <w:kern w:val="0"/>
                <w:sz w:val="20"/>
                <w:szCs w:val="20"/>
              </w:rPr>
            </w:pPr>
            <w:r>
              <w:rPr>
                <w:rFonts w:hint="eastAsia" w:ascii="宋体" w:hAnsi="宋体" w:eastAsia="宋体" w:cs="Times New Roman"/>
                <w:color w:val="000000"/>
                <w:kern w:val="0"/>
                <w:sz w:val="20"/>
                <w:szCs w:val="20"/>
              </w:rPr>
              <w:t>江苏省</w:t>
            </w:r>
          </w:p>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泰兴中学</w:t>
            </w:r>
          </w:p>
        </w:tc>
        <w:tc>
          <w:tcPr>
            <w:tcW w:w="230"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4C-2</w:t>
            </w:r>
          </w:p>
        </w:tc>
        <w:tc>
          <w:tcPr>
            <w:tcW w:w="369"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从事高中化学学科竞赛辅导和创新人才培养工作</w:t>
            </w:r>
          </w:p>
        </w:tc>
        <w:tc>
          <w:tcPr>
            <w:tcW w:w="185"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w:t>
            </w:r>
          </w:p>
        </w:tc>
        <w:tc>
          <w:tcPr>
            <w:tcW w:w="323"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Times New Roman"/>
                <w:kern w:val="0"/>
                <w:sz w:val="20"/>
                <w:szCs w:val="20"/>
              </w:rPr>
            </w:pPr>
            <w:r>
              <w:rPr>
                <w:rFonts w:hint="eastAsia" w:ascii="宋体" w:hAnsi="宋体" w:eastAsia="宋体" w:cs="Times New Roman"/>
                <w:kern w:val="0"/>
                <w:sz w:val="20"/>
                <w:szCs w:val="20"/>
              </w:rPr>
              <w:t>本科</w:t>
            </w:r>
          </w:p>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及以上</w:t>
            </w:r>
          </w:p>
        </w:tc>
        <w:tc>
          <w:tcPr>
            <w:tcW w:w="672"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化学及相关专业</w:t>
            </w:r>
          </w:p>
        </w:tc>
        <w:tc>
          <w:tcPr>
            <w:tcW w:w="849" w:type="pct"/>
            <w:vMerge w:val="continue"/>
            <w:tcBorders>
              <w:top w:val="single" w:color="auto" w:sz="4" w:space="0"/>
              <w:left w:val="single" w:color="auto" w:sz="4" w:space="0"/>
              <w:bottom w:val="single" w:color="auto" w:sz="4" w:space="0"/>
              <w:right w:val="single" w:color="auto" w:sz="4" w:space="0"/>
            </w:tcBorders>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553" w:type="pct"/>
            <w:vMerge w:val="continue"/>
            <w:tcBorders>
              <w:top w:val="single" w:color="auto" w:sz="4" w:space="0"/>
              <w:left w:val="single" w:color="auto" w:sz="4" w:space="0"/>
              <w:bottom w:val="single" w:color="auto" w:sz="4" w:space="0"/>
              <w:right w:val="single" w:color="auto" w:sz="4" w:space="0"/>
            </w:tcBorders>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kern w:val="0"/>
                <w:sz w:val="20"/>
                <w:szCs w:val="20"/>
              </w:rPr>
            </w:pPr>
          </w:p>
        </w:tc>
        <w:tc>
          <w:tcPr>
            <w:tcW w:w="185" w:type="pct"/>
            <w:vMerge w:val="continue"/>
            <w:tcBorders>
              <w:top w:val="single" w:color="auto" w:sz="4" w:space="0"/>
              <w:left w:val="single" w:color="auto" w:sz="4" w:space="0"/>
              <w:bottom w:val="single" w:color="auto" w:sz="4" w:space="0"/>
              <w:right w:val="single" w:color="auto" w:sz="4" w:space="0"/>
            </w:tcBorders>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276" w:type="pct"/>
            <w:vMerge w:val="continue"/>
            <w:tcBorders>
              <w:top w:val="single" w:color="auto" w:sz="4" w:space="0"/>
              <w:left w:val="single" w:color="auto" w:sz="4" w:space="0"/>
              <w:bottom w:val="single" w:color="auto" w:sz="4" w:space="0"/>
              <w:right w:val="single" w:color="auto" w:sz="4" w:space="0"/>
            </w:tcBorders>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561" w:type="pct"/>
            <w:vMerge w:val="continue"/>
            <w:tcBorders>
              <w:top w:val="single" w:color="auto" w:sz="4" w:space="0"/>
              <w:left w:val="single" w:color="auto" w:sz="4" w:space="0"/>
              <w:bottom w:val="single" w:color="auto" w:sz="4" w:space="0"/>
              <w:right w:val="single" w:color="auto" w:sz="8" w:space="0"/>
            </w:tcBorders>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color w:val="000000"/>
                <w:kern w:val="0"/>
                <w:sz w:val="20"/>
                <w:szCs w:val="20"/>
              </w:rPr>
            </w:pPr>
          </w:p>
        </w:tc>
      </w:tr>
      <w:tr>
        <w:tblPrEx>
          <w:tblCellMar>
            <w:top w:w="0" w:type="dxa"/>
            <w:left w:w="108" w:type="dxa"/>
            <w:bottom w:w="0" w:type="dxa"/>
            <w:right w:w="108" w:type="dxa"/>
          </w:tblCellMar>
        </w:tblPrEx>
        <w:trPr>
          <w:trHeight w:val="2722" w:hRule="atLeast"/>
          <w:jc w:val="center"/>
        </w:trPr>
        <w:tc>
          <w:tcPr>
            <w:tcW w:w="285" w:type="pct"/>
            <w:tcBorders>
              <w:top w:val="single" w:color="auto" w:sz="4" w:space="0"/>
              <w:left w:val="single" w:color="auto" w:sz="8" w:space="0"/>
              <w:bottom w:val="single" w:color="auto" w:sz="8"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泰兴市</w:t>
            </w:r>
          </w:p>
        </w:tc>
        <w:tc>
          <w:tcPr>
            <w:tcW w:w="191" w:type="pct"/>
            <w:tcBorders>
              <w:top w:val="single" w:color="auto" w:sz="4" w:space="0"/>
              <w:left w:val="single" w:color="auto" w:sz="4" w:space="0"/>
              <w:bottom w:val="single" w:color="auto" w:sz="8"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4C</w:t>
            </w:r>
          </w:p>
        </w:tc>
        <w:tc>
          <w:tcPr>
            <w:tcW w:w="316" w:type="pct"/>
            <w:tcBorders>
              <w:top w:val="single" w:color="auto" w:sz="4" w:space="0"/>
              <w:left w:val="single" w:color="auto" w:sz="4" w:space="0"/>
              <w:bottom w:val="single" w:color="auto" w:sz="8"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Times New Roman"/>
                <w:color w:val="000000"/>
                <w:kern w:val="0"/>
                <w:sz w:val="20"/>
                <w:szCs w:val="20"/>
              </w:rPr>
            </w:pPr>
            <w:r>
              <w:rPr>
                <w:rFonts w:hint="eastAsia" w:ascii="宋体" w:hAnsi="宋体" w:eastAsia="宋体" w:cs="Times New Roman"/>
                <w:color w:val="000000"/>
                <w:kern w:val="0"/>
                <w:sz w:val="20"/>
                <w:szCs w:val="20"/>
              </w:rPr>
              <w:t>江苏省</w:t>
            </w:r>
          </w:p>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泰兴中学</w:t>
            </w:r>
          </w:p>
        </w:tc>
        <w:tc>
          <w:tcPr>
            <w:tcW w:w="230" w:type="pct"/>
            <w:tcBorders>
              <w:top w:val="single" w:color="auto" w:sz="4" w:space="0"/>
              <w:left w:val="single" w:color="auto" w:sz="4" w:space="0"/>
              <w:bottom w:val="single" w:color="auto" w:sz="8"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4C-3</w:t>
            </w:r>
          </w:p>
        </w:tc>
        <w:tc>
          <w:tcPr>
            <w:tcW w:w="369" w:type="pct"/>
            <w:tcBorders>
              <w:top w:val="single" w:color="auto" w:sz="4" w:space="0"/>
              <w:left w:val="single" w:color="auto" w:sz="4" w:space="0"/>
              <w:bottom w:val="single" w:color="auto" w:sz="8"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从事高中生物学科竞赛辅导和创新人才培养工作</w:t>
            </w:r>
          </w:p>
        </w:tc>
        <w:tc>
          <w:tcPr>
            <w:tcW w:w="185" w:type="pct"/>
            <w:tcBorders>
              <w:top w:val="single" w:color="auto" w:sz="4" w:space="0"/>
              <w:left w:val="single" w:color="auto" w:sz="4" w:space="0"/>
              <w:bottom w:val="single" w:color="auto" w:sz="8"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w:t>
            </w:r>
          </w:p>
        </w:tc>
        <w:tc>
          <w:tcPr>
            <w:tcW w:w="323" w:type="pct"/>
            <w:tcBorders>
              <w:top w:val="single" w:color="auto" w:sz="4" w:space="0"/>
              <w:left w:val="single" w:color="auto" w:sz="4" w:space="0"/>
              <w:bottom w:val="single" w:color="auto" w:sz="8"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Times New Roman"/>
                <w:color w:val="000000"/>
                <w:kern w:val="0"/>
                <w:sz w:val="20"/>
                <w:szCs w:val="20"/>
              </w:rPr>
            </w:pPr>
            <w:r>
              <w:rPr>
                <w:rFonts w:hint="eastAsia" w:ascii="宋体" w:hAnsi="宋体" w:eastAsia="宋体" w:cs="Times New Roman"/>
                <w:color w:val="000000"/>
                <w:kern w:val="0"/>
                <w:sz w:val="20"/>
                <w:szCs w:val="20"/>
              </w:rPr>
              <w:t>本科</w:t>
            </w:r>
          </w:p>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及以上</w:t>
            </w:r>
          </w:p>
        </w:tc>
        <w:tc>
          <w:tcPr>
            <w:tcW w:w="672" w:type="pct"/>
            <w:tcBorders>
              <w:top w:val="single" w:color="auto" w:sz="4" w:space="0"/>
              <w:left w:val="single" w:color="auto" w:sz="4" w:space="0"/>
              <w:bottom w:val="single" w:color="auto" w:sz="8"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生物及相关专业</w:t>
            </w:r>
          </w:p>
        </w:tc>
        <w:tc>
          <w:tcPr>
            <w:tcW w:w="849" w:type="pct"/>
            <w:vMerge w:val="continue"/>
            <w:tcBorders>
              <w:top w:val="single" w:color="auto" w:sz="4" w:space="0"/>
              <w:left w:val="single" w:color="auto" w:sz="4" w:space="0"/>
              <w:bottom w:val="single" w:color="auto" w:sz="8" w:space="0"/>
              <w:right w:val="single" w:color="auto" w:sz="4" w:space="0"/>
            </w:tcBorders>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553" w:type="pct"/>
            <w:vMerge w:val="continue"/>
            <w:tcBorders>
              <w:top w:val="single" w:color="auto" w:sz="4" w:space="0"/>
              <w:left w:val="single" w:color="auto" w:sz="4" w:space="0"/>
              <w:bottom w:val="single" w:color="auto" w:sz="8" w:space="0"/>
              <w:right w:val="single" w:color="auto" w:sz="4" w:space="0"/>
            </w:tcBorders>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kern w:val="0"/>
                <w:sz w:val="20"/>
                <w:szCs w:val="20"/>
              </w:rPr>
            </w:pPr>
          </w:p>
        </w:tc>
        <w:tc>
          <w:tcPr>
            <w:tcW w:w="185" w:type="pct"/>
            <w:vMerge w:val="continue"/>
            <w:tcBorders>
              <w:top w:val="single" w:color="auto" w:sz="4" w:space="0"/>
              <w:left w:val="single" w:color="auto" w:sz="4" w:space="0"/>
              <w:bottom w:val="single" w:color="auto" w:sz="8" w:space="0"/>
              <w:right w:val="single" w:color="auto" w:sz="4" w:space="0"/>
            </w:tcBorders>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276" w:type="pct"/>
            <w:vMerge w:val="continue"/>
            <w:tcBorders>
              <w:top w:val="single" w:color="auto" w:sz="4" w:space="0"/>
              <w:left w:val="single" w:color="auto" w:sz="4" w:space="0"/>
              <w:bottom w:val="single" w:color="auto" w:sz="8" w:space="0"/>
              <w:right w:val="single" w:color="auto" w:sz="4" w:space="0"/>
            </w:tcBorders>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561" w:type="pct"/>
            <w:vMerge w:val="continue"/>
            <w:tcBorders>
              <w:top w:val="single" w:color="auto" w:sz="4" w:space="0"/>
              <w:left w:val="single" w:color="auto" w:sz="4" w:space="0"/>
              <w:bottom w:val="single" w:color="auto" w:sz="8" w:space="0"/>
              <w:right w:val="single" w:color="auto" w:sz="8" w:space="0"/>
            </w:tcBorders>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color w:val="000000"/>
                <w:kern w:val="0"/>
                <w:sz w:val="20"/>
                <w:szCs w:val="20"/>
              </w:rPr>
            </w:pPr>
          </w:p>
        </w:tc>
      </w:tr>
      <w:tr>
        <w:tblPrEx>
          <w:tblCellMar>
            <w:top w:w="0" w:type="dxa"/>
            <w:left w:w="108" w:type="dxa"/>
            <w:bottom w:w="0" w:type="dxa"/>
            <w:right w:w="108" w:type="dxa"/>
          </w:tblCellMar>
        </w:tblPrEx>
        <w:trPr>
          <w:trHeight w:val="1476" w:hRule="atLeast"/>
          <w:jc w:val="center"/>
        </w:trPr>
        <w:tc>
          <w:tcPr>
            <w:tcW w:w="285" w:type="pct"/>
            <w:tcBorders>
              <w:top w:val="single" w:color="auto" w:sz="8" w:space="0"/>
              <w:left w:val="single" w:color="auto" w:sz="8"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兴化市</w:t>
            </w:r>
          </w:p>
        </w:tc>
        <w:tc>
          <w:tcPr>
            <w:tcW w:w="191" w:type="pct"/>
            <w:tcBorders>
              <w:top w:val="single" w:color="auto" w:sz="8"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5C</w:t>
            </w:r>
          </w:p>
        </w:tc>
        <w:tc>
          <w:tcPr>
            <w:tcW w:w="316" w:type="pct"/>
            <w:tcBorders>
              <w:top w:val="single" w:color="auto" w:sz="8"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Times New Roman"/>
                <w:color w:val="000000"/>
                <w:kern w:val="0"/>
                <w:sz w:val="20"/>
                <w:szCs w:val="20"/>
              </w:rPr>
            </w:pPr>
            <w:r>
              <w:rPr>
                <w:rFonts w:hint="eastAsia" w:ascii="宋体" w:hAnsi="宋体" w:eastAsia="宋体" w:cs="Times New Roman"/>
                <w:color w:val="000000"/>
                <w:kern w:val="0"/>
                <w:sz w:val="20"/>
                <w:szCs w:val="20"/>
              </w:rPr>
              <w:t>江苏省</w:t>
            </w:r>
          </w:p>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兴化中学</w:t>
            </w:r>
          </w:p>
        </w:tc>
        <w:tc>
          <w:tcPr>
            <w:tcW w:w="230" w:type="pct"/>
            <w:tcBorders>
              <w:top w:val="single" w:color="auto" w:sz="8"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5C-1</w:t>
            </w:r>
          </w:p>
        </w:tc>
        <w:tc>
          <w:tcPr>
            <w:tcW w:w="369" w:type="pct"/>
            <w:tcBorders>
              <w:top w:val="single" w:color="auto" w:sz="8"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从事高中语文教学及管理工作</w:t>
            </w:r>
          </w:p>
        </w:tc>
        <w:tc>
          <w:tcPr>
            <w:tcW w:w="185" w:type="pct"/>
            <w:tcBorders>
              <w:top w:val="single" w:color="auto" w:sz="8"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w:t>
            </w:r>
          </w:p>
        </w:tc>
        <w:tc>
          <w:tcPr>
            <w:tcW w:w="323" w:type="pct"/>
            <w:tcBorders>
              <w:top w:val="single" w:color="auto" w:sz="8"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Times New Roman"/>
                <w:color w:val="000000"/>
                <w:kern w:val="0"/>
                <w:sz w:val="20"/>
                <w:szCs w:val="20"/>
              </w:rPr>
            </w:pPr>
            <w:r>
              <w:rPr>
                <w:rFonts w:hint="eastAsia" w:ascii="宋体" w:hAnsi="宋体" w:eastAsia="宋体" w:cs="Times New Roman"/>
                <w:color w:val="000000"/>
                <w:kern w:val="0"/>
                <w:sz w:val="20"/>
                <w:szCs w:val="20"/>
              </w:rPr>
              <w:t>本科</w:t>
            </w:r>
          </w:p>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及以上</w:t>
            </w:r>
          </w:p>
        </w:tc>
        <w:tc>
          <w:tcPr>
            <w:tcW w:w="672" w:type="pct"/>
            <w:tcBorders>
              <w:top w:val="single" w:color="auto" w:sz="8"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中文及相关专业</w:t>
            </w:r>
          </w:p>
        </w:tc>
        <w:tc>
          <w:tcPr>
            <w:tcW w:w="849" w:type="pct"/>
            <w:vMerge w:val="restart"/>
            <w:tcBorders>
              <w:top w:val="single" w:color="auto" w:sz="8"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30" w:lineRule="exact"/>
              <w:jc w:val="left"/>
              <w:rPr>
                <w:rFonts w:hint="eastAsia" w:ascii="Times New Roman" w:hAnsi="Times New Roman" w:eastAsia="宋体" w:cs="Times New Roman"/>
                <w:kern w:val="0"/>
                <w:sz w:val="20"/>
                <w:szCs w:val="20"/>
              </w:rPr>
            </w:pPr>
            <w:r>
              <w:rPr>
                <w:rFonts w:hint="eastAsia" w:ascii="Times New Roman" w:hAnsi="Times New Roman" w:eastAsia="宋体" w:cs="Times New Roman"/>
                <w:kern w:val="0"/>
                <w:sz w:val="20"/>
                <w:szCs w:val="20"/>
              </w:rPr>
              <w:t>1.本科阶段须为第一轮“一流大学”建设高校全日制毕业生。</w:t>
            </w:r>
          </w:p>
          <w:p>
            <w:pPr>
              <w:widowControl/>
              <w:spacing w:line="230" w:lineRule="exact"/>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2.首聘期3年内取得相应学科教师资格证书。</w:t>
            </w:r>
          </w:p>
        </w:tc>
        <w:tc>
          <w:tcPr>
            <w:tcW w:w="553" w:type="pct"/>
            <w:vMerge w:val="restart"/>
            <w:tcBorders>
              <w:top w:val="single" w:color="auto" w:sz="8"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color w:val="auto"/>
                <w:kern w:val="0"/>
                <w:sz w:val="20"/>
                <w:szCs w:val="20"/>
                <w:u w:val="none"/>
              </w:rPr>
            </w:pPr>
            <w:r>
              <w:rPr>
                <w:rFonts w:hint="default" w:ascii="Times New Roman" w:hAnsi="Times New Roman" w:eastAsia="宋体" w:cs="Times New Roman"/>
                <w:kern w:val="0"/>
                <w:sz w:val="20"/>
                <w:szCs w:val="20"/>
              </w:rPr>
              <w:t>报名网址：</w:t>
            </w:r>
            <w:r>
              <w:rPr>
                <w:rFonts w:hint="default" w:ascii="Times New Roman" w:hAnsi="Times New Roman" w:eastAsia="宋体" w:cs="Times New Roman"/>
                <w:color w:val="auto"/>
                <w:kern w:val="0"/>
                <w:sz w:val="20"/>
                <w:szCs w:val="20"/>
                <w:u w:val="none"/>
              </w:rPr>
              <w:fldChar w:fldCharType="begin"/>
            </w:r>
            <w:r>
              <w:rPr>
                <w:rFonts w:hint="default" w:ascii="Times New Roman" w:hAnsi="Times New Roman" w:eastAsia="宋体" w:cs="Times New Roman"/>
                <w:color w:val="auto"/>
                <w:kern w:val="0"/>
                <w:sz w:val="20"/>
                <w:szCs w:val="20"/>
                <w:u w:val="none"/>
              </w:rPr>
              <w:instrText xml:space="preserve"> HYPERLINK "http://www.tzjob.com" </w:instrText>
            </w:r>
            <w:r>
              <w:rPr>
                <w:rFonts w:hint="default" w:ascii="Times New Roman" w:hAnsi="Times New Roman" w:eastAsia="宋体" w:cs="Times New Roman"/>
                <w:color w:val="auto"/>
                <w:kern w:val="0"/>
                <w:sz w:val="20"/>
                <w:szCs w:val="20"/>
                <w:u w:val="none"/>
              </w:rPr>
              <w:fldChar w:fldCharType="separate"/>
            </w:r>
            <w:r>
              <w:rPr>
                <w:rStyle w:val="6"/>
                <w:rFonts w:hint="default" w:ascii="Times New Roman" w:hAnsi="Times New Roman" w:eastAsia="宋体" w:cs="Times New Roman"/>
                <w:color w:val="auto"/>
                <w:kern w:val="0"/>
                <w:sz w:val="20"/>
                <w:szCs w:val="20"/>
                <w:u w:val="none"/>
              </w:rPr>
              <w:t>www.tzjob.com</w:t>
            </w:r>
            <w:r>
              <w:rPr>
                <w:rFonts w:hint="default" w:ascii="Times New Roman" w:hAnsi="Times New Roman" w:eastAsia="宋体" w:cs="Times New Roman"/>
                <w:color w:val="auto"/>
                <w:kern w:val="0"/>
                <w:sz w:val="20"/>
                <w:szCs w:val="20"/>
                <w:u w:val="none"/>
              </w:rPr>
              <w:fldChar w:fldCharType="end"/>
            </w:r>
          </w:p>
          <w:p>
            <w:pPr>
              <w:widowControl/>
              <w:spacing w:line="240" w:lineRule="exact"/>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电子邮箱：jssxhzxzp@163.com</w:t>
            </w:r>
            <w:r>
              <w:rPr>
                <w:rFonts w:hint="default" w:ascii="Times New Roman" w:hAnsi="Times New Roman" w:eastAsia="宋体" w:cs="Times New Roman"/>
                <w:kern w:val="0"/>
                <w:sz w:val="20"/>
                <w:szCs w:val="20"/>
              </w:rPr>
              <w:br w:type="textWrapping"/>
            </w:r>
            <w:r>
              <w:rPr>
                <w:rFonts w:hint="default" w:ascii="Times New Roman" w:hAnsi="Times New Roman" w:eastAsia="宋体" w:cs="Times New Roman"/>
                <w:kern w:val="0"/>
                <w:sz w:val="20"/>
                <w:szCs w:val="20"/>
              </w:rPr>
              <w:t>咨询电话：0523-83217000（江苏省兴化中学）联系人：曹老师 13812380208</w:t>
            </w:r>
            <w:r>
              <w:rPr>
                <w:rFonts w:hint="eastAsia" w:ascii="Times New Roman" w:hAnsi="Times New Roman" w:eastAsia="宋体" w:cs="Times New Roman"/>
                <w:kern w:val="0"/>
                <w:sz w:val="20"/>
                <w:szCs w:val="20"/>
                <w:lang w:eastAsia="zh-CN"/>
              </w:rPr>
              <w:t>，</w:t>
            </w:r>
            <w:r>
              <w:rPr>
                <w:rFonts w:hint="default" w:ascii="Times New Roman" w:hAnsi="Times New Roman" w:eastAsia="宋体" w:cs="Times New Roman"/>
                <w:kern w:val="0"/>
                <w:sz w:val="20"/>
                <w:szCs w:val="20"/>
              </w:rPr>
              <w:br w:type="textWrapping"/>
            </w:r>
            <w:r>
              <w:rPr>
                <w:rFonts w:hint="default" w:ascii="Times New Roman" w:hAnsi="Times New Roman" w:eastAsia="宋体" w:cs="Times New Roman"/>
                <w:kern w:val="0"/>
                <w:sz w:val="20"/>
                <w:szCs w:val="20"/>
              </w:rPr>
              <w:t>0523-83242833</w:t>
            </w:r>
          </w:p>
          <w:p>
            <w:pPr>
              <w:widowControl/>
              <w:spacing w:line="240" w:lineRule="exact"/>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（兴化市教育局）</w:t>
            </w:r>
          </w:p>
        </w:tc>
        <w:tc>
          <w:tcPr>
            <w:tcW w:w="185" w:type="pct"/>
            <w:vMerge w:val="restart"/>
            <w:tcBorders>
              <w:top w:val="single" w:color="auto" w:sz="8"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276" w:type="pct"/>
            <w:vMerge w:val="restart"/>
            <w:tcBorders>
              <w:top w:val="single" w:color="auto" w:sz="8"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笔试</w:t>
            </w:r>
            <w:r>
              <w:rPr>
                <w:rFonts w:ascii="Times New Roman" w:hAnsi="Times New Roman" w:eastAsia="宋体" w:cs="Times New Roman"/>
                <w:kern w:val="0"/>
                <w:sz w:val="20"/>
                <w:szCs w:val="20"/>
              </w:rPr>
              <w:t>+</w:t>
            </w:r>
            <w:r>
              <w:rPr>
                <w:rFonts w:hint="eastAsia" w:ascii="宋体" w:hAnsi="宋体" w:eastAsia="宋体" w:cs="Times New Roman"/>
                <w:kern w:val="0"/>
                <w:sz w:val="20"/>
                <w:szCs w:val="20"/>
              </w:rPr>
              <w:t>面试</w:t>
            </w:r>
          </w:p>
        </w:tc>
        <w:tc>
          <w:tcPr>
            <w:tcW w:w="561" w:type="pct"/>
            <w:vMerge w:val="restart"/>
            <w:tcBorders>
              <w:top w:val="single" w:color="auto" w:sz="8" w:space="0"/>
              <w:left w:val="single" w:color="auto" w:sz="4" w:space="0"/>
              <w:bottom w:val="single" w:color="auto" w:sz="4" w:space="0"/>
              <w:right w:val="single" w:color="auto" w:sz="8" w:space="0"/>
            </w:tcBorders>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享受兴化市优秀人才有关奖励待遇</w:t>
            </w:r>
          </w:p>
        </w:tc>
      </w:tr>
      <w:tr>
        <w:tblPrEx>
          <w:tblCellMar>
            <w:top w:w="0" w:type="dxa"/>
            <w:left w:w="108" w:type="dxa"/>
            <w:bottom w:w="0" w:type="dxa"/>
            <w:right w:w="108" w:type="dxa"/>
          </w:tblCellMar>
        </w:tblPrEx>
        <w:trPr>
          <w:trHeight w:val="1356" w:hRule="atLeast"/>
          <w:jc w:val="center"/>
        </w:trPr>
        <w:tc>
          <w:tcPr>
            <w:tcW w:w="285" w:type="pct"/>
            <w:tcBorders>
              <w:top w:val="single" w:color="auto" w:sz="4" w:space="0"/>
              <w:left w:val="single" w:color="auto" w:sz="8"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兴化市</w:t>
            </w:r>
          </w:p>
        </w:tc>
        <w:tc>
          <w:tcPr>
            <w:tcW w:w="191"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5C</w:t>
            </w:r>
          </w:p>
        </w:tc>
        <w:tc>
          <w:tcPr>
            <w:tcW w:w="316"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Times New Roman"/>
                <w:color w:val="000000"/>
                <w:kern w:val="0"/>
                <w:sz w:val="20"/>
                <w:szCs w:val="20"/>
              </w:rPr>
            </w:pPr>
            <w:r>
              <w:rPr>
                <w:rFonts w:hint="eastAsia" w:ascii="宋体" w:hAnsi="宋体" w:eastAsia="宋体" w:cs="Times New Roman"/>
                <w:color w:val="000000"/>
                <w:kern w:val="0"/>
                <w:sz w:val="20"/>
                <w:szCs w:val="20"/>
              </w:rPr>
              <w:t>江苏省</w:t>
            </w:r>
          </w:p>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兴化中学</w:t>
            </w:r>
          </w:p>
        </w:tc>
        <w:tc>
          <w:tcPr>
            <w:tcW w:w="230"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5C-2</w:t>
            </w:r>
          </w:p>
        </w:tc>
        <w:tc>
          <w:tcPr>
            <w:tcW w:w="369"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从事高中数学教学及管理工作</w:t>
            </w:r>
          </w:p>
        </w:tc>
        <w:tc>
          <w:tcPr>
            <w:tcW w:w="185"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w:t>
            </w:r>
          </w:p>
        </w:tc>
        <w:tc>
          <w:tcPr>
            <w:tcW w:w="323"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Times New Roman"/>
                <w:color w:val="000000"/>
                <w:kern w:val="0"/>
                <w:sz w:val="20"/>
                <w:szCs w:val="20"/>
              </w:rPr>
            </w:pPr>
            <w:r>
              <w:rPr>
                <w:rFonts w:hint="eastAsia" w:ascii="宋体" w:hAnsi="宋体" w:eastAsia="宋体" w:cs="Times New Roman"/>
                <w:color w:val="000000"/>
                <w:kern w:val="0"/>
                <w:sz w:val="20"/>
                <w:szCs w:val="20"/>
              </w:rPr>
              <w:t>本科</w:t>
            </w:r>
          </w:p>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及以上</w:t>
            </w:r>
          </w:p>
        </w:tc>
        <w:tc>
          <w:tcPr>
            <w:tcW w:w="672"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数学及相关专业</w:t>
            </w:r>
          </w:p>
        </w:tc>
        <w:tc>
          <w:tcPr>
            <w:tcW w:w="849" w:type="pct"/>
            <w:vMerge w:val="continue"/>
            <w:tcBorders>
              <w:top w:val="single" w:color="auto" w:sz="4" w:space="0"/>
              <w:left w:val="single" w:color="auto" w:sz="4" w:space="0"/>
              <w:bottom w:val="single" w:color="auto" w:sz="4" w:space="0"/>
              <w:right w:val="single" w:color="auto" w:sz="4" w:space="0"/>
            </w:tcBorders>
            <w:tcMar>
              <w:top w:w="28" w:type="dxa"/>
              <w:left w:w="57" w:type="dxa"/>
              <w:bottom w:w="28" w:type="dxa"/>
              <w:right w:w="57" w:type="dxa"/>
            </w:tcMar>
            <w:vAlign w:val="center"/>
          </w:tcPr>
          <w:p>
            <w:pPr>
              <w:widowControl/>
              <w:spacing w:line="230" w:lineRule="exact"/>
              <w:jc w:val="left"/>
              <w:rPr>
                <w:rFonts w:ascii="Times New Roman" w:hAnsi="Times New Roman" w:eastAsia="宋体" w:cs="Times New Roman"/>
                <w:kern w:val="0"/>
                <w:sz w:val="20"/>
                <w:szCs w:val="20"/>
              </w:rPr>
            </w:pPr>
          </w:p>
        </w:tc>
        <w:tc>
          <w:tcPr>
            <w:tcW w:w="553" w:type="pct"/>
            <w:vMerge w:val="continue"/>
            <w:tcBorders>
              <w:top w:val="single" w:color="auto" w:sz="4" w:space="0"/>
              <w:left w:val="single" w:color="auto" w:sz="4" w:space="0"/>
              <w:bottom w:val="single" w:color="auto" w:sz="4" w:space="0"/>
              <w:right w:val="single" w:color="auto" w:sz="4" w:space="0"/>
            </w:tcBorders>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kern w:val="0"/>
                <w:sz w:val="20"/>
                <w:szCs w:val="20"/>
              </w:rPr>
            </w:pPr>
          </w:p>
        </w:tc>
        <w:tc>
          <w:tcPr>
            <w:tcW w:w="185" w:type="pct"/>
            <w:vMerge w:val="continue"/>
            <w:tcBorders>
              <w:top w:val="single" w:color="auto" w:sz="4" w:space="0"/>
              <w:left w:val="single" w:color="auto" w:sz="4" w:space="0"/>
              <w:bottom w:val="single" w:color="auto" w:sz="4" w:space="0"/>
              <w:right w:val="single" w:color="auto" w:sz="4" w:space="0"/>
            </w:tcBorders>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276" w:type="pct"/>
            <w:vMerge w:val="continue"/>
            <w:tcBorders>
              <w:top w:val="single" w:color="auto" w:sz="4" w:space="0"/>
              <w:left w:val="single" w:color="auto" w:sz="4" w:space="0"/>
              <w:bottom w:val="single" w:color="auto" w:sz="4" w:space="0"/>
              <w:right w:val="single" w:color="auto" w:sz="4" w:space="0"/>
            </w:tcBorders>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561" w:type="pct"/>
            <w:vMerge w:val="continue"/>
            <w:tcBorders>
              <w:top w:val="single" w:color="auto" w:sz="4" w:space="0"/>
              <w:left w:val="single" w:color="auto" w:sz="4" w:space="0"/>
              <w:bottom w:val="single" w:color="auto" w:sz="4" w:space="0"/>
              <w:right w:val="single" w:color="auto" w:sz="8" w:space="0"/>
            </w:tcBorders>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color w:val="000000"/>
                <w:kern w:val="0"/>
                <w:sz w:val="20"/>
                <w:szCs w:val="20"/>
              </w:rPr>
            </w:pPr>
          </w:p>
        </w:tc>
      </w:tr>
      <w:tr>
        <w:tblPrEx>
          <w:tblCellMar>
            <w:top w:w="0" w:type="dxa"/>
            <w:left w:w="108" w:type="dxa"/>
            <w:bottom w:w="0" w:type="dxa"/>
            <w:right w:w="108" w:type="dxa"/>
          </w:tblCellMar>
        </w:tblPrEx>
        <w:trPr>
          <w:trHeight w:val="1376" w:hRule="atLeast"/>
          <w:jc w:val="center"/>
        </w:trPr>
        <w:tc>
          <w:tcPr>
            <w:tcW w:w="285" w:type="pct"/>
            <w:tcBorders>
              <w:top w:val="single" w:color="auto" w:sz="4" w:space="0"/>
              <w:left w:val="single" w:color="auto" w:sz="8"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兴化市</w:t>
            </w:r>
          </w:p>
        </w:tc>
        <w:tc>
          <w:tcPr>
            <w:tcW w:w="191"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5C</w:t>
            </w:r>
          </w:p>
        </w:tc>
        <w:tc>
          <w:tcPr>
            <w:tcW w:w="316"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Times New Roman"/>
                <w:color w:val="000000"/>
                <w:kern w:val="0"/>
                <w:sz w:val="20"/>
                <w:szCs w:val="20"/>
              </w:rPr>
            </w:pPr>
            <w:r>
              <w:rPr>
                <w:rFonts w:hint="eastAsia" w:ascii="宋体" w:hAnsi="宋体" w:eastAsia="宋体" w:cs="Times New Roman"/>
                <w:color w:val="000000"/>
                <w:kern w:val="0"/>
                <w:sz w:val="20"/>
                <w:szCs w:val="20"/>
              </w:rPr>
              <w:t>江苏省</w:t>
            </w:r>
          </w:p>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兴化中学</w:t>
            </w:r>
          </w:p>
        </w:tc>
        <w:tc>
          <w:tcPr>
            <w:tcW w:w="230"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5C-3</w:t>
            </w:r>
          </w:p>
        </w:tc>
        <w:tc>
          <w:tcPr>
            <w:tcW w:w="369"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从事高中英语教学及管理工作</w:t>
            </w:r>
          </w:p>
        </w:tc>
        <w:tc>
          <w:tcPr>
            <w:tcW w:w="185"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w:t>
            </w:r>
          </w:p>
        </w:tc>
        <w:tc>
          <w:tcPr>
            <w:tcW w:w="323"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Times New Roman"/>
                <w:color w:val="000000"/>
                <w:kern w:val="0"/>
                <w:sz w:val="20"/>
                <w:szCs w:val="20"/>
              </w:rPr>
            </w:pPr>
            <w:r>
              <w:rPr>
                <w:rFonts w:hint="eastAsia" w:ascii="宋体" w:hAnsi="宋体" w:eastAsia="宋体" w:cs="Times New Roman"/>
                <w:color w:val="000000"/>
                <w:kern w:val="0"/>
                <w:sz w:val="20"/>
                <w:szCs w:val="20"/>
              </w:rPr>
              <w:t>本科</w:t>
            </w:r>
          </w:p>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及以上</w:t>
            </w:r>
          </w:p>
        </w:tc>
        <w:tc>
          <w:tcPr>
            <w:tcW w:w="672"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英语及相关专业</w:t>
            </w:r>
          </w:p>
        </w:tc>
        <w:tc>
          <w:tcPr>
            <w:tcW w:w="849" w:type="pct"/>
            <w:vMerge w:val="continue"/>
            <w:tcBorders>
              <w:top w:val="single" w:color="auto" w:sz="4" w:space="0"/>
              <w:left w:val="single" w:color="auto" w:sz="4" w:space="0"/>
              <w:bottom w:val="single" w:color="auto" w:sz="4" w:space="0"/>
              <w:right w:val="single" w:color="auto" w:sz="4" w:space="0"/>
            </w:tcBorders>
            <w:tcMar>
              <w:top w:w="28" w:type="dxa"/>
              <w:left w:w="57" w:type="dxa"/>
              <w:bottom w:w="28" w:type="dxa"/>
              <w:right w:w="57" w:type="dxa"/>
            </w:tcMar>
            <w:vAlign w:val="center"/>
          </w:tcPr>
          <w:p>
            <w:pPr>
              <w:widowControl/>
              <w:spacing w:line="230" w:lineRule="exact"/>
              <w:jc w:val="left"/>
              <w:rPr>
                <w:rFonts w:ascii="Times New Roman" w:hAnsi="Times New Roman" w:eastAsia="宋体" w:cs="Times New Roman"/>
                <w:kern w:val="0"/>
                <w:sz w:val="20"/>
                <w:szCs w:val="20"/>
              </w:rPr>
            </w:pPr>
          </w:p>
        </w:tc>
        <w:tc>
          <w:tcPr>
            <w:tcW w:w="553" w:type="pct"/>
            <w:vMerge w:val="continue"/>
            <w:tcBorders>
              <w:top w:val="single" w:color="auto" w:sz="4" w:space="0"/>
              <w:left w:val="single" w:color="auto" w:sz="4" w:space="0"/>
              <w:bottom w:val="single" w:color="auto" w:sz="4" w:space="0"/>
              <w:right w:val="single" w:color="auto" w:sz="4" w:space="0"/>
            </w:tcBorders>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kern w:val="0"/>
                <w:sz w:val="20"/>
                <w:szCs w:val="20"/>
              </w:rPr>
            </w:pPr>
          </w:p>
        </w:tc>
        <w:tc>
          <w:tcPr>
            <w:tcW w:w="185" w:type="pct"/>
            <w:vMerge w:val="continue"/>
            <w:tcBorders>
              <w:top w:val="single" w:color="auto" w:sz="4" w:space="0"/>
              <w:left w:val="single" w:color="auto" w:sz="4" w:space="0"/>
              <w:bottom w:val="single" w:color="auto" w:sz="4" w:space="0"/>
              <w:right w:val="single" w:color="auto" w:sz="4" w:space="0"/>
            </w:tcBorders>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276" w:type="pct"/>
            <w:vMerge w:val="continue"/>
            <w:tcBorders>
              <w:top w:val="single" w:color="auto" w:sz="4" w:space="0"/>
              <w:left w:val="single" w:color="auto" w:sz="4" w:space="0"/>
              <w:bottom w:val="single" w:color="auto" w:sz="4" w:space="0"/>
              <w:right w:val="single" w:color="auto" w:sz="4" w:space="0"/>
            </w:tcBorders>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561" w:type="pct"/>
            <w:vMerge w:val="continue"/>
            <w:tcBorders>
              <w:top w:val="single" w:color="auto" w:sz="4" w:space="0"/>
              <w:left w:val="single" w:color="auto" w:sz="4" w:space="0"/>
              <w:bottom w:val="single" w:color="auto" w:sz="4" w:space="0"/>
              <w:right w:val="single" w:color="auto" w:sz="8" w:space="0"/>
            </w:tcBorders>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color w:val="000000"/>
                <w:kern w:val="0"/>
                <w:sz w:val="20"/>
                <w:szCs w:val="20"/>
              </w:rPr>
            </w:pPr>
          </w:p>
        </w:tc>
      </w:tr>
      <w:tr>
        <w:tblPrEx>
          <w:tblCellMar>
            <w:top w:w="0" w:type="dxa"/>
            <w:left w:w="108" w:type="dxa"/>
            <w:bottom w:w="0" w:type="dxa"/>
            <w:right w:w="108" w:type="dxa"/>
          </w:tblCellMar>
        </w:tblPrEx>
        <w:trPr>
          <w:trHeight w:val="1722" w:hRule="atLeast"/>
          <w:jc w:val="center"/>
        </w:trPr>
        <w:tc>
          <w:tcPr>
            <w:tcW w:w="285" w:type="pct"/>
            <w:tcBorders>
              <w:top w:val="single" w:color="auto" w:sz="4" w:space="0"/>
              <w:left w:val="single" w:color="auto" w:sz="8"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兴化市</w:t>
            </w:r>
          </w:p>
        </w:tc>
        <w:tc>
          <w:tcPr>
            <w:tcW w:w="191"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5C</w:t>
            </w:r>
          </w:p>
        </w:tc>
        <w:tc>
          <w:tcPr>
            <w:tcW w:w="316"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Times New Roman"/>
                <w:color w:val="000000"/>
                <w:kern w:val="0"/>
                <w:sz w:val="20"/>
                <w:szCs w:val="20"/>
              </w:rPr>
            </w:pPr>
            <w:r>
              <w:rPr>
                <w:rFonts w:hint="eastAsia" w:ascii="宋体" w:hAnsi="宋体" w:eastAsia="宋体" w:cs="Times New Roman"/>
                <w:color w:val="000000"/>
                <w:kern w:val="0"/>
                <w:sz w:val="20"/>
                <w:szCs w:val="20"/>
              </w:rPr>
              <w:t>江苏省</w:t>
            </w:r>
          </w:p>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兴化中学</w:t>
            </w:r>
          </w:p>
        </w:tc>
        <w:tc>
          <w:tcPr>
            <w:tcW w:w="230"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5C-4</w:t>
            </w:r>
          </w:p>
        </w:tc>
        <w:tc>
          <w:tcPr>
            <w:tcW w:w="369"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从事高中物理教学及管理工作</w:t>
            </w:r>
          </w:p>
        </w:tc>
        <w:tc>
          <w:tcPr>
            <w:tcW w:w="185"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w:t>
            </w:r>
          </w:p>
        </w:tc>
        <w:tc>
          <w:tcPr>
            <w:tcW w:w="323"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Times New Roman"/>
                <w:color w:val="000000"/>
                <w:kern w:val="0"/>
                <w:sz w:val="20"/>
                <w:szCs w:val="20"/>
              </w:rPr>
            </w:pPr>
            <w:r>
              <w:rPr>
                <w:rFonts w:hint="eastAsia" w:ascii="宋体" w:hAnsi="宋体" w:eastAsia="宋体" w:cs="Times New Roman"/>
                <w:color w:val="000000"/>
                <w:kern w:val="0"/>
                <w:sz w:val="20"/>
                <w:szCs w:val="20"/>
              </w:rPr>
              <w:t>本科</w:t>
            </w:r>
          </w:p>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及以上</w:t>
            </w:r>
          </w:p>
        </w:tc>
        <w:tc>
          <w:tcPr>
            <w:tcW w:w="672"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物理及相关专业</w:t>
            </w:r>
          </w:p>
        </w:tc>
        <w:tc>
          <w:tcPr>
            <w:tcW w:w="849" w:type="pct"/>
            <w:vMerge w:val="restar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30" w:lineRule="exact"/>
              <w:jc w:val="left"/>
              <w:rPr>
                <w:rFonts w:hint="eastAsia" w:ascii="Times New Roman" w:hAnsi="Times New Roman" w:eastAsia="宋体" w:cs="Times New Roman"/>
                <w:kern w:val="0"/>
                <w:sz w:val="20"/>
                <w:szCs w:val="20"/>
              </w:rPr>
            </w:pPr>
            <w:r>
              <w:rPr>
                <w:rFonts w:hint="eastAsia" w:ascii="Times New Roman" w:hAnsi="Times New Roman" w:eastAsia="宋体" w:cs="Times New Roman"/>
                <w:kern w:val="0"/>
                <w:sz w:val="20"/>
                <w:szCs w:val="20"/>
              </w:rPr>
              <w:t>1.本科阶段须为第一轮“一流大学”建设高校</w:t>
            </w:r>
            <w:r>
              <w:rPr>
                <w:rFonts w:hint="eastAsia" w:ascii="Times New Roman" w:hAnsi="Times New Roman" w:eastAsia="宋体" w:cs="Times New Roman"/>
                <w:kern w:val="0"/>
                <w:sz w:val="20"/>
                <w:szCs w:val="20"/>
                <w:lang w:val="en-US" w:eastAsia="zh-CN"/>
              </w:rPr>
              <w:t>或</w:t>
            </w:r>
            <w:r>
              <w:rPr>
                <w:rFonts w:hint="eastAsia" w:ascii="Times New Roman" w:hAnsi="Times New Roman" w:eastAsia="宋体" w:cs="Times New Roman"/>
                <w:kern w:val="0"/>
                <w:sz w:val="20"/>
                <w:szCs w:val="20"/>
              </w:rPr>
              <w:t>第二轮“双一流”建设高校全日制毕业生。</w:t>
            </w:r>
          </w:p>
          <w:p>
            <w:pPr>
              <w:widowControl/>
              <w:spacing w:line="230" w:lineRule="exact"/>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2.首聘期3年内取得相应学科教师资格证书。</w:t>
            </w:r>
          </w:p>
        </w:tc>
        <w:tc>
          <w:tcPr>
            <w:tcW w:w="553" w:type="pct"/>
            <w:vMerge w:val="continue"/>
            <w:tcBorders>
              <w:top w:val="single" w:color="auto" w:sz="4" w:space="0"/>
              <w:left w:val="single" w:color="auto" w:sz="4" w:space="0"/>
              <w:bottom w:val="single" w:color="auto" w:sz="4" w:space="0"/>
              <w:right w:val="single" w:color="auto" w:sz="4" w:space="0"/>
            </w:tcBorders>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kern w:val="0"/>
                <w:sz w:val="20"/>
                <w:szCs w:val="20"/>
              </w:rPr>
            </w:pPr>
          </w:p>
        </w:tc>
        <w:tc>
          <w:tcPr>
            <w:tcW w:w="185" w:type="pct"/>
            <w:vMerge w:val="continue"/>
            <w:tcBorders>
              <w:top w:val="single" w:color="auto" w:sz="4" w:space="0"/>
              <w:left w:val="single" w:color="auto" w:sz="4" w:space="0"/>
              <w:bottom w:val="single" w:color="auto" w:sz="4" w:space="0"/>
              <w:right w:val="single" w:color="auto" w:sz="4" w:space="0"/>
            </w:tcBorders>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276" w:type="pct"/>
            <w:vMerge w:val="continue"/>
            <w:tcBorders>
              <w:top w:val="single" w:color="auto" w:sz="4" w:space="0"/>
              <w:left w:val="single" w:color="auto" w:sz="4" w:space="0"/>
              <w:bottom w:val="single" w:color="auto" w:sz="4" w:space="0"/>
              <w:right w:val="single" w:color="auto" w:sz="4" w:space="0"/>
            </w:tcBorders>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561" w:type="pct"/>
            <w:vMerge w:val="continue"/>
            <w:tcBorders>
              <w:top w:val="single" w:color="auto" w:sz="4" w:space="0"/>
              <w:left w:val="single" w:color="auto" w:sz="4" w:space="0"/>
              <w:bottom w:val="single" w:color="auto" w:sz="4" w:space="0"/>
              <w:right w:val="single" w:color="auto" w:sz="8" w:space="0"/>
            </w:tcBorders>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color w:val="000000"/>
                <w:kern w:val="0"/>
                <w:sz w:val="20"/>
                <w:szCs w:val="20"/>
              </w:rPr>
            </w:pPr>
          </w:p>
        </w:tc>
      </w:tr>
      <w:tr>
        <w:tblPrEx>
          <w:tblCellMar>
            <w:top w:w="0" w:type="dxa"/>
            <w:left w:w="108" w:type="dxa"/>
            <w:bottom w:w="0" w:type="dxa"/>
            <w:right w:w="108" w:type="dxa"/>
          </w:tblCellMar>
        </w:tblPrEx>
        <w:trPr>
          <w:trHeight w:val="1936" w:hRule="atLeast"/>
          <w:jc w:val="center"/>
        </w:trPr>
        <w:tc>
          <w:tcPr>
            <w:tcW w:w="285" w:type="pct"/>
            <w:tcBorders>
              <w:top w:val="single" w:color="auto" w:sz="4" w:space="0"/>
              <w:left w:val="single" w:color="auto" w:sz="8" w:space="0"/>
              <w:bottom w:val="single" w:color="auto" w:sz="8"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兴化市</w:t>
            </w:r>
          </w:p>
        </w:tc>
        <w:tc>
          <w:tcPr>
            <w:tcW w:w="191" w:type="pct"/>
            <w:tcBorders>
              <w:top w:val="single" w:color="auto" w:sz="4" w:space="0"/>
              <w:left w:val="single" w:color="auto" w:sz="4" w:space="0"/>
              <w:bottom w:val="single" w:color="auto" w:sz="8"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5C</w:t>
            </w:r>
          </w:p>
        </w:tc>
        <w:tc>
          <w:tcPr>
            <w:tcW w:w="316" w:type="pct"/>
            <w:tcBorders>
              <w:top w:val="single" w:color="auto" w:sz="4" w:space="0"/>
              <w:left w:val="single" w:color="auto" w:sz="4" w:space="0"/>
              <w:bottom w:val="single" w:color="auto" w:sz="8"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Times New Roman"/>
                <w:color w:val="000000"/>
                <w:kern w:val="0"/>
                <w:sz w:val="20"/>
                <w:szCs w:val="20"/>
              </w:rPr>
            </w:pPr>
            <w:r>
              <w:rPr>
                <w:rFonts w:hint="eastAsia" w:ascii="宋体" w:hAnsi="宋体" w:eastAsia="宋体" w:cs="Times New Roman"/>
                <w:color w:val="000000"/>
                <w:kern w:val="0"/>
                <w:sz w:val="20"/>
                <w:szCs w:val="20"/>
              </w:rPr>
              <w:t>江苏省</w:t>
            </w:r>
          </w:p>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兴化中学</w:t>
            </w:r>
          </w:p>
        </w:tc>
        <w:tc>
          <w:tcPr>
            <w:tcW w:w="230" w:type="pct"/>
            <w:tcBorders>
              <w:top w:val="single" w:color="auto" w:sz="4" w:space="0"/>
              <w:left w:val="single" w:color="auto" w:sz="4" w:space="0"/>
              <w:bottom w:val="single" w:color="auto" w:sz="8"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5C-5</w:t>
            </w:r>
          </w:p>
        </w:tc>
        <w:tc>
          <w:tcPr>
            <w:tcW w:w="369" w:type="pct"/>
            <w:tcBorders>
              <w:top w:val="single" w:color="auto" w:sz="4" w:space="0"/>
              <w:left w:val="single" w:color="auto" w:sz="4" w:space="0"/>
              <w:bottom w:val="single" w:color="auto" w:sz="8"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从事高中化学教学及管理工作</w:t>
            </w:r>
          </w:p>
        </w:tc>
        <w:tc>
          <w:tcPr>
            <w:tcW w:w="185" w:type="pct"/>
            <w:tcBorders>
              <w:top w:val="single" w:color="auto" w:sz="4" w:space="0"/>
              <w:left w:val="single" w:color="auto" w:sz="4" w:space="0"/>
              <w:bottom w:val="single" w:color="auto" w:sz="8"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w:t>
            </w:r>
          </w:p>
        </w:tc>
        <w:tc>
          <w:tcPr>
            <w:tcW w:w="323" w:type="pct"/>
            <w:tcBorders>
              <w:top w:val="single" w:color="auto" w:sz="4" w:space="0"/>
              <w:left w:val="single" w:color="auto" w:sz="4" w:space="0"/>
              <w:bottom w:val="single" w:color="auto" w:sz="8"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Times New Roman"/>
                <w:color w:val="000000"/>
                <w:kern w:val="0"/>
                <w:sz w:val="20"/>
                <w:szCs w:val="20"/>
              </w:rPr>
            </w:pPr>
            <w:r>
              <w:rPr>
                <w:rFonts w:hint="eastAsia" w:ascii="宋体" w:hAnsi="宋体" w:eastAsia="宋体" w:cs="Times New Roman"/>
                <w:color w:val="000000"/>
                <w:kern w:val="0"/>
                <w:sz w:val="20"/>
                <w:szCs w:val="20"/>
              </w:rPr>
              <w:t>本科</w:t>
            </w:r>
          </w:p>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及以上</w:t>
            </w:r>
          </w:p>
        </w:tc>
        <w:tc>
          <w:tcPr>
            <w:tcW w:w="672" w:type="pct"/>
            <w:tcBorders>
              <w:top w:val="single" w:color="auto" w:sz="4" w:space="0"/>
              <w:left w:val="single" w:color="auto" w:sz="4" w:space="0"/>
              <w:bottom w:val="single" w:color="auto" w:sz="8"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化学及相关专业</w:t>
            </w:r>
          </w:p>
        </w:tc>
        <w:tc>
          <w:tcPr>
            <w:tcW w:w="849" w:type="pct"/>
            <w:vMerge w:val="continue"/>
            <w:tcBorders>
              <w:top w:val="single" w:color="auto" w:sz="4" w:space="0"/>
              <w:left w:val="single" w:color="auto" w:sz="4" w:space="0"/>
              <w:bottom w:val="single" w:color="auto" w:sz="8" w:space="0"/>
              <w:right w:val="single" w:color="auto" w:sz="4" w:space="0"/>
            </w:tcBorders>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553" w:type="pct"/>
            <w:vMerge w:val="continue"/>
            <w:tcBorders>
              <w:top w:val="single" w:color="auto" w:sz="4" w:space="0"/>
              <w:left w:val="single" w:color="auto" w:sz="4" w:space="0"/>
              <w:bottom w:val="single" w:color="auto" w:sz="8" w:space="0"/>
              <w:right w:val="single" w:color="auto" w:sz="4" w:space="0"/>
            </w:tcBorders>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kern w:val="0"/>
                <w:sz w:val="20"/>
                <w:szCs w:val="20"/>
              </w:rPr>
            </w:pPr>
          </w:p>
        </w:tc>
        <w:tc>
          <w:tcPr>
            <w:tcW w:w="185" w:type="pct"/>
            <w:vMerge w:val="continue"/>
            <w:tcBorders>
              <w:top w:val="single" w:color="auto" w:sz="4" w:space="0"/>
              <w:left w:val="single" w:color="auto" w:sz="4" w:space="0"/>
              <w:bottom w:val="single" w:color="auto" w:sz="8" w:space="0"/>
              <w:right w:val="single" w:color="auto" w:sz="4" w:space="0"/>
            </w:tcBorders>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276" w:type="pct"/>
            <w:vMerge w:val="continue"/>
            <w:tcBorders>
              <w:top w:val="single" w:color="auto" w:sz="4" w:space="0"/>
              <w:left w:val="single" w:color="auto" w:sz="4" w:space="0"/>
              <w:bottom w:val="single" w:color="auto" w:sz="8" w:space="0"/>
              <w:right w:val="single" w:color="auto" w:sz="4" w:space="0"/>
            </w:tcBorders>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561" w:type="pct"/>
            <w:vMerge w:val="continue"/>
            <w:tcBorders>
              <w:top w:val="single" w:color="auto" w:sz="4" w:space="0"/>
              <w:left w:val="single" w:color="auto" w:sz="4" w:space="0"/>
              <w:bottom w:val="single" w:color="auto" w:sz="8" w:space="0"/>
              <w:right w:val="single" w:color="auto" w:sz="8" w:space="0"/>
            </w:tcBorders>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color w:val="000000"/>
                <w:kern w:val="0"/>
                <w:sz w:val="20"/>
                <w:szCs w:val="20"/>
              </w:rPr>
            </w:pPr>
          </w:p>
        </w:tc>
      </w:tr>
      <w:tr>
        <w:tblPrEx>
          <w:tblCellMar>
            <w:top w:w="0" w:type="dxa"/>
            <w:left w:w="108" w:type="dxa"/>
            <w:bottom w:w="0" w:type="dxa"/>
            <w:right w:w="108" w:type="dxa"/>
          </w:tblCellMar>
        </w:tblPrEx>
        <w:trPr>
          <w:trHeight w:val="2722" w:hRule="atLeast"/>
          <w:jc w:val="center"/>
        </w:trPr>
        <w:tc>
          <w:tcPr>
            <w:tcW w:w="285" w:type="pct"/>
            <w:tcBorders>
              <w:top w:val="single" w:color="auto" w:sz="8" w:space="0"/>
              <w:left w:val="single" w:color="auto" w:sz="8"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兴化市</w:t>
            </w:r>
          </w:p>
        </w:tc>
        <w:tc>
          <w:tcPr>
            <w:tcW w:w="191" w:type="pct"/>
            <w:tcBorders>
              <w:top w:val="single" w:color="auto" w:sz="8"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5C</w:t>
            </w:r>
          </w:p>
        </w:tc>
        <w:tc>
          <w:tcPr>
            <w:tcW w:w="316" w:type="pct"/>
            <w:tcBorders>
              <w:top w:val="single" w:color="auto" w:sz="8"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Times New Roman"/>
                <w:color w:val="000000"/>
                <w:kern w:val="0"/>
                <w:sz w:val="20"/>
                <w:szCs w:val="20"/>
              </w:rPr>
            </w:pPr>
            <w:r>
              <w:rPr>
                <w:rFonts w:hint="eastAsia" w:ascii="宋体" w:hAnsi="宋体" w:eastAsia="宋体" w:cs="Times New Roman"/>
                <w:color w:val="000000"/>
                <w:kern w:val="0"/>
                <w:sz w:val="20"/>
                <w:szCs w:val="20"/>
              </w:rPr>
              <w:t>兴化市</w:t>
            </w:r>
          </w:p>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楚水实验学校</w:t>
            </w:r>
          </w:p>
        </w:tc>
        <w:tc>
          <w:tcPr>
            <w:tcW w:w="230" w:type="pct"/>
            <w:tcBorders>
              <w:top w:val="single" w:color="auto" w:sz="8"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5C-6</w:t>
            </w:r>
          </w:p>
        </w:tc>
        <w:tc>
          <w:tcPr>
            <w:tcW w:w="369" w:type="pct"/>
            <w:tcBorders>
              <w:top w:val="single" w:color="auto" w:sz="8"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从事高中数学教学及管理工作</w:t>
            </w:r>
          </w:p>
        </w:tc>
        <w:tc>
          <w:tcPr>
            <w:tcW w:w="185" w:type="pct"/>
            <w:tcBorders>
              <w:top w:val="single" w:color="auto" w:sz="8"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w:t>
            </w:r>
          </w:p>
        </w:tc>
        <w:tc>
          <w:tcPr>
            <w:tcW w:w="323" w:type="pct"/>
            <w:tcBorders>
              <w:top w:val="single" w:color="auto" w:sz="8"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Times New Roman"/>
                <w:color w:val="000000"/>
                <w:kern w:val="0"/>
                <w:sz w:val="20"/>
                <w:szCs w:val="20"/>
              </w:rPr>
            </w:pPr>
            <w:r>
              <w:rPr>
                <w:rFonts w:hint="eastAsia" w:ascii="宋体" w:hAnsi="宋体" w:eastAsia="宋体" w:cs="Times New Roman"/>
                <w:color w:val="000000"/>
                <w:kern w:val="0"/>
                <w:sz w:val="20"/>
                <w:szCs w:val="20"/>
              </w:rPr>
              <w:t>本科</w:t>
            </w:r>
          </w:p>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及以上</w:t>
            </w:r>
          </w:p>
        </w:tc>
        <w:tc>
          <w:tcPr>
            <w:tcW w:w="672" w:type="pct"/>
            <w:tcBorders>
              <w:top w:val="single" w:color="auto" w:sz="8"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数学及相关专业</w:t>
            </w:r>
          </w:p>
        </w:tc>
        <w:tc>
          <w:tcPr>
            <w:tcW w:w="849" w:type="pct"/>
            <w:vMerge w:val="restart"/>
            <w:tcBorders>
              <w:top w:val="single" w:color="auto" w:sz="8"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left"/>
              <w:rPr>
                <w:rFonts w:hint="eastAsia" w:ascii="Times New Roman" w:hAnsi="Times New Roman" w:eastAsia="宋体" w:cs="Times New Roman"/>
                <w:kern w:val="0"/>
                <w:sz w:val="20"/>
                <w:szCs w:val="20"/>
              </w:rPr>
            </w:pPr>
            <w:r>
              <w:rPr>
                <w:rFonts w:hint="eastAsia" w:ascii="Times New Roman" w:hAnsi="Times New Roman" w:eastAsia="宋体" w:cs="Times New Roman"/>
                <w:kern w:val="0"/>
                <w:sz w:val="20"/>
                <w:szCs w:val="20"/>
              </w:rPr>
              <w:t>1.本科阶段须为第一轮“一流大学”建设高校</w:t>
            </w:r>
            <w:r>
              <w:rPr>
                <w:rFonts w:hint="eastAsia" w:ascii="Times New Roman" w:hAnsi="Times New Roman" w:eastAsia="宋体" w:cs="Times New Roman"/>
                <w:kern w:val="0"/>
                <w:sz w:val="20"/>
                <w:szCs w:val="20"/>
                <w:lang w:val="en-US" w:eastAsia="zh-CN"/>
              </w:rPr>
              <w:t>或</w:t>
            </w:r>
            <w:r>
              <w:rPr>
                <w:rFonts w:hint="eastAsia" w:ascii="Times New Roman" w:hAnsi="Times New Roman" w:eastAsia="宋体" w:cs="Times New Roman"/>
                <w:kern w:val="0"/>
                <w:sz w:val="20"/>
                <w:szCs w:val="20"/>
              </w:rPr>
              <w:t>第二轮“双一流”建设高校全日制毕业生。</w:t>
            </w:r>
          </w:p>
          <w:p>
            <w:pPr>
              <w:widowControl/>
              <w:spacing w:line="240" w:lineRule="exact"/>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2.首聘期3年内取得相应学科教师资格证书。</w:t>
            </w:r>
          </w:p>
        </w:tc>
        <w:tc>
          <w:tcPr>
            <w:tcW w:w="553" w:type="pct"/>
            <w:vMerge w:val="restart"/>
            <w:tcBorders>
              <w:top w:val="single" w:color="auto" w:sz="8"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color w:val="auto"/>
                <w:kern w:val="0"/>
                <w:sz w:val="20"/>
                <w:szCs w:val="20"/>
                <w:u w:val="none"/>
              </w:rPr>
            </w:pPr>
            <w:r>
              <w:rPr>
                <w:rFonts w:hint="default" w:ascii="Times New Roman" w:hAnsi="Times New Roman" w:eastAsia="宋体" w:cs="Times New Roman"/>
                <w:kern w:val="0"/>
                <w:sz w:val="20"/>
                <w:szCs w:val="20"/>
              </w:rPr>
              <w:t>报名网址：</w:t>
            </w:r>
            <w:r>
              <w:rPr>
                <w:rFonts w:hint="default" w:ascii="Times New Roman" w:hAnsi="Times New Roman" w:eastAsia="宋体" w:cs="Times New Roman"/>
                <w:color w:val="auto"/>
                <w:kern w:val="0"/>
                <w:sz w:val="20"/>
                <w:szCs w:val="20"/>
                <w:u w:val="none"/>
              </w:rPr>
              <w:fldChar w:fldCharType="begin"/>
            </w:r>
            <w:r>
              <w:rPr>
                <w:rFonts w:hint="default" w:ascii="Times New Roman" w:hAnsi="Times New Roman" w:eastAsia="宋体" w:cs="Times New Roman"/>
                <w:color w:val="auto"/>
                <w:kern w:val="0"/>
                <w:sz w:val="20"/>
                <w:szCs w:val="20"/>
                <w:u w:val="none"/>
              </w:rPr>
              <w:instrText xml:space="preserve"> HYPERLINK "http://www.tzjob.com" </w:instrText>
            </w:r>
            <w:r>
              <w:rPr>
                <w:rFonts w:hint="default" w:ascii="Times New Roman" w:hAnsi="Times New Roman" w:eastAsia="宋体" w:cs="Times New Roman"/>
                <w:color w:val="auto"/>
                <w:kern w:val="0"/>
                <w:sz w:val="20"/>
                <w:szCs w:val="20"/>
                <w:u w:val="none"/>
              </w:rPr>
              <w:fldChar w:fldCharType="separate"/>
            </w:r>
            <w:r>
              <w:rPr>
                <w:rStyle w:val="6"/>
                <w:rFonts w:hint="default" w:ascii="Times New Roman" w:hAnsi="Times New Roman" w:eastAsia="宋体" w:cs="Times New Roman"/>
                <w:color w:val="auto"/>
                <w:kern w:val="0"/>
                <w:sz w:val="20"/>
                <w:szCs w:val="20"/>
                <w:u w:val="none"/>
              </w:rPr>
              <w:t>www.tzjob.com</w:t>
            </w:r>
            <w:r>
              <w:rPr>
                <w:rFonts w:hint="default" w:ascii="Times New Roman" w:hAnsi="Times New Roman" w:eastAsia="宋体" w:cs="Times New Roman"/>
                <w:color w:val="auto"/>
                <w:kern w:val="0"/>
                <w:sz w:val="20"/>
                <w:szCs w:val="20"/>
                <w:u w:val="none"/>
              </w:rPr>
              <w:fldChar w:fldCharType="end"/>
            </w:r>
          </w:p>
          <w:p>
            <w:pPr>
              <w:widowControl/>
              <w:spacing w:line="240" w:lineRule="exact"/>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电子邮箱：147660407@qq.com</w:t>
            </w:r>
            <w:r>
              <w:rPr>
                <w:rFonts w:hint="default" w:ascii="Times New Roman" w:hAnsi="Times New Roman" w:eastAsia="宋体" w:cs="Times New Roman"/>
                <w:kern w:val="0"/>
                <w:sz w:val="20"/>
                <w:szCs w:val="20"/>
              </w:rPr>
              <w:br w:type="textWrapping"/>
            </w:r>
            <w:r>
              <w:rPr>
                <w:rFonts w:hint="default" w:ascii="Times New Roman" w:hAnsi="Times New Roman" w:eastAsia="宋体" w:cs="Times New Roman"/>
                <w:kern w:val="0"/>
                <w:sz w:val="20"/>
                <w:szCs w:val="20"/>
              </w:rPr>
              <w:t>咨询电话：0523-80218889（兴化市楚水实验学校）联系人：徐老师 13814493698</w:t>
            </w:r>
            <w:r>
              <w:rPr>
                <w:rFonts w:hint="eastAsia" w:ascii="Times New Roman" w:hAnsi="Times New Roman" w:eastAsia="宋体" w:cs="Times New Roman"/>
                <w:kern w:val="0"/>
                <w:sz w:val="20"/>
                <w:szCs w:val="20"/>
                <w:lang w:eastAsia="zh-CN"/>
              </w:rPr>
              <w:t>，</w:t>
            </w:r>
            <w:r>
              <w:rPr>
                <w:rFonts w:hint="default" w:ascii="Times New Roman" w:hAnsi="Times New Roman" w:eastAsia="宋体" w:cs="Times New Roman"/>
                <w:kern w:val="0"/>
                <w:sz w:val="20"/>
                <w:szCs w:val="20"/>
              </w:rPr>
              <w:br w:type="textWrapping"/>
            </w:r>
            <w:r>
              <w:rPr>
                <w:rFonts w:hint="default" w:ascii="Times New Roman" w:hAnsi="Times New Roman" w:eastAsia="宋体" w:cs="Times New Roman"/>
                <w:kern w:val="0"/>
                <w:sz w:val="20"/>
                <w:szCs w:val="20"/>
              </w:rPr>
              <w:t>0523-83242833</w:t>
            </w:r>
          </w:p>
          <w:p>
            <w:pPr>
              <w:widowControl/>
              <w:spacing w:line="240" w:lineRule="exact"/>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（兴化市教育局）</w:t>
            </w:r>
          </w:p>
        </w:tc>
        <w:tc>
          <w:tcPr>
            <w:tcW w:w="185" w:type="pct"/>
            <w:vMerge w:val="restart"/>
            <w:tcBorders>
              <w:top w:val="single" w:color="auto" w:sz="8"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276" w:type="pct"/>
            <w:vMerge w:val="restart"/>
            <w:tcBorders>
              <w:top w:val="single" w:color="auto" w:sz="8"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笔试</w:t>
            </w:r>
            <w:r>
              <w:rPr>
                <w:rFonts w:ascii="Times New Roman" w:hAnsi="Times New Roman" w:eastAsia="宋体" w:cs="Times New Roman"/>
                <w:kern w:val="0"/>
                <w:sz w:val="20"/>
                <w:szCs w:val="20"/>
              </w:rPr>
              <w:t>+</w:t>
            </w:r>
            <w:r>
              <w:rPr>
                <w:rFonts w:hint="eastAsia" w:ascii="宋体" w:hAnsi="宋体" w:eastAsia="宋体" w:cs="Times New Roman"/>
                <w:kern w:val="0"/>
                <w:sz w:val="20"/>
                <w:szCs w:val="20"/>
              </w:rPr>
              <w:t>面试</w:t>
            </w:r>
          </w:p>
        </w:tc>
        <w:tc>
          <w:tcPr>
            <w:tcW w:w="561" w:type="pct"/>
            <w:vMerge w:val="restart"/>
            <w:tcBorders>
              <w:top w:val="single" w:color="auto" w:sz="8" w:space="0"/>
              <w:left w:val="single" w:color="auto" w:sz="4" w:space="0"/>
              <w:bottom w:val="single" w:color="auto" w:sz="4" w:space="0"/>
              <w:right w:val="single" w:color="auto" w:sz="8" w:space="0"/>
            </w:tcBorders>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享受兴化市优秀人才有关奖励待遇</w:t>
            </w:r>
          </w:p>
        </w:tc>
      </w:tr>
      <w:tr>
        <w:tblPrEx>
          <w:tblCellMar>
            <w:top w:w="0" w:type="dxa"/>
            <w:left w:w="108" w:type="dxa"/>
            <w:bottom w:w="0" w:type="dxa"/>
            <w:right w:w="108" w:type="dxa"/>
          </w:tblCellMar>
        </w:tblPrEx>
        <w:trPr>
          <w:trHeight w:val="2722" w:hRule="atLeast"/>
          <w:jc w:val="center"/>
        </w:trPr>
        <w:tc>
          <w:tcPr>
            <w:tcW w:w="285" w:type="pct"/>
            <w:tcBorders>
              <w:top w:val="single" w:color="auto" w:sz="4" w:space="0"/>
              <w:left w:val="single" w:color="auto" w:sz="8"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兴化市</w:t>
            </w:r>
          </w:p>
        </w:tc>
        <w:tc>
          <w:tcPr>
            <w:tcW w:w="191"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5C</w:t>
            </w:r>
          </w:p>
        </w:tc>
        <w:tc>
          <w:tcPr>
            <w:tcW w:w="316"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Times New Roman"/>
                <w:color w:val="000000"/>
                <w:kern w:val="0"/>
                <w:sz w:val="20"/>
                <w:szCs w:val="20"/>
              </w:rPr>
            </w:pPr>
            <w:r>
              <w:rPr>
                <w:rFonts w:hint="eastAsia" w:ascii="宋体" w:hAnsi="宋体" w:eastAsia="宋体" w:cs="Times New Roman"/>
                <w:color w:val="000000"/>
                <w:kern w:val="0"/>
                <w:sz w:val="20"/>
                <w:szCs w:val="20"/>
              </w:rPr>
              <w:t>兴化市</w:t>
            </w:r>
          </w:p>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楚水实验学校</w:t>
            </w:r>
          </w:p>
        </w:tc>
        <w:tc>
          <w:tcPr>
            <w:tcW w:w="230"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5C-7</w:t>
            </w:r>
          </w:p>
        </w:tc>
        <w:tc>
          <w:tcPr>
            <w:tcW w:w="369"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从事高中物理教学及管理工作</w:t>
            </w:r>
          </w:p>
        </w:tc>
        <w:tc>
          <w:tcPr>
            <w:tcW w:w="185"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w:t>
            </w:r>
          </w:p>
        </w:tc>
        <w:tc>
          <w:tcPr>
            <w:tcW w:w="323"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Times New Roman"/>
                <w:color w:val="000000"/>
                <w:kern w:val="0"/>
                <w:sz w:val="20"/>
                <w:szCs w:val="20"/>
              </w:rPr>
            </w:pPr>
            <w:r>
              <w:rPr>
                <w:rFonts w:hint="eastAsia" w:ascii="宋体" w:hAnsi="宋体" w:eastAsia="宋体" w:cs="Times New Roman"/>
                <w:color w:val="000000"/>
                <w:kern w:val="0"/>
                <w:sz w:val="20"/>
                <w:szCs w:val="20"/>
              </w:rPr>
              <w:t>本科</w:t>
            </w:r>
          </w:p>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及以上</w:t>
            </w:r>
          </w:p>
        </w:tc>
        <w:tc>
          <w:tcPr>
            <w:tcW w:w="672" w:type="pct"/>
            <w:tcBorders>
              <w:top w:val="single" w:color="auto" w:sz="4"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物理及相关专业</w:t>
            </w:r>
          </w:p>
        </w:tc>
        <w:tc>
          <w:tcPr>
            <w:tcW w:w="849" w:type="pct"/>
            <w:vMerge w:val="continue"/>
            <w:tcBorders>
              <w:top w:val="single" w:color="auto" w:sz="4" w:space="0"/>
              <w:left w:val="single" w:color="auto" w:sz="4" w:space="0"/>
              <w:bottom w:val="single" w:color="auto" w:sz="4" w:space="0"/>
              <w:right w:val="single" w:color="auto" w:sz="4" w:space="0"/>
            </w:tcBorders>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553" w:type="pct"/>
            <w:vMerge w:val="continue"/>
            <w:tcBorders>
              <w:top w:val="single" w:color="auto" w:sz="4" w:space="0"/>
              <w:left w:val="single" w:color="auto" w:sz="4" w:space="0"/>
              <w:bottom w:val="single" w:color="auto" w:sz="4" w:space="0"/>
              <w:right w:val="single" w:color="auto" w:sz="4" w:space="0"/>
            </w:tcBorders>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kern w:val="0"/>
                <w:sz w:val="20"/>
                <w:szCs w:val="20"/>
              </w:rPr>
            </w:pPr>
          </w:p>
        </w:tc>
        <w:tc>
          <w:tcPr>
            <w:tcW w:w="185" w:type="pct"/>
            <w:vMerge w:val="continue"/>
            <w:tcBorders>
              <w:top w:val="single" w:color="auto" w:sz="4" w:space="0"/>
              <w:left w:val="single" w:color="auto" w:sz="4" w:space="0"/>
              <w:bottom w:val="single" w:color="auto" w:sz="4" w:space="0"/>
              <w:right w:val="single" w:color="auto" w:sz="4" w:space="0"/>
            </w:tcBorders>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276" w:type="pct"/>
            <w:vMerge w:val="continue"/>
            <w:tcBorders>
              <w:top w:val="single" w:color="auto" w:sz="4" w:space="0"/>
              <w:left w:val="single" w:color="auto" w:sz="4" w:space="0"/>
              <w:bottom w:val="single" w:color="auto" w:sz="4" w:space="0"/>
              <w:right w:val="single" w:color="auto" w:sz="4" w:space="0"/>
            </w:tcBorders>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561" w:type="pct"/>
            <w:vMerge w:val="continue"/>
            <w:tcBorders>
              <w:top w:val="single" w:color="auto" w:sz="4" w:space="0"/>
              <w:left w:val="single" w:color="auto" w:sz="4" w:space="0"/>
              <w:bottom w:val="single" w:color="auto" w:sz="4" w:space="0"/>
              <w:right w:val="single" w:color="auto" w:sz="8" w:space="0"/>
            </w:tcBorders>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color w:val="000000"/>
                <w:kern w:val="0"/>
                <w:sz w:val="20"/>
                <w:szCs w:val="20"/>
              </w:rPr>
            </w:pPr>
          </w:p>
        </w:tc>
      </w:tr>
      <w:tr>
        <w:tblPrEx>
          <w:tblCellMar>
            <w:top w:w="0" w:type="dxa"/>
            <w:left w:w="108" w:type="dxa"/>
            <w:bottom w:w="0" w:type="dxa"/>
            <w:right w:w="108" w:type="dxa"/>
          </w:tblCellMar>
        </w:tblPrEx>
        <w:trPr>
          <w:trHeight w:val="2722" w:hRule="atLeast"/>
          <w:jc w:val="center"/>
        </w:trPr>
        <w:tc>
          <w:tcPr>
            <w:tcW w:w="285" w:type="pct"/>
            <w:tcBorders>
              <w:top w:val="single" w:color="auto" w:sz="4" w:space="0"/>
              <w:left w:val="single" w:color="auto" w:sz="8" w:space="0"/>
              <w:bottom w:val="single" w:color="auto" w:sz="8"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兴化市</w:t>
            </w:r>
          </w:p>
        </w:tc>
        <w:tc>
          <w:tcPr>
            <w:tcW w:w="191" w:type="pct"/>
            <w:tcBorders>
              <w:top w:val="single" w:color="auto" w:sz="4" w:space="0"/>
              <w:left w:val="single" w:color="auto" w:sz="4" w:space="0"/>
              <w:bottom w:val="single" w:color="auto" w:sz="8"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5C</w:t>
            </w:r>
          </w:p>
        </w:tc>
        <w:tc>
          <w:tcPr>
            <w:tcW w:w="316" w:type="pct"/>
            <w:tcBorders>
              <w:top w:val="single" w:color="auto" w:sz="4" w:space="0"/>
              <w:left w:val="single" w:color="auto" w:sz="4" w:space="0"/>
              <w:bottom w:val="single" w:color="auto" w:sz="8"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Times New Roman"/>
                <w:color w:val="000000"/>
                <w:kern w:val="0"/>
                <w:sz w:val="20"/>
                <w:szCs w:val="20"/>
              </w:rPr>
            </w:pPr>
            <w:r>
              <w:rPr>
                <w:rFonts w:hint="eastAsia" w:ascii="宋体" w:hAnsi="宋体" w:eastAsia="宋体" w:cs="Times New Roman"/>
                <w:color w:val="000000"/>
                <w:kern w:val="0"/>
                <w:sz w:val="20"/>
                <w:szCs w:val="20"/>
              </w:rPr>
              <w:t>兴化市</w:t>
            </w:r>
          </w:p>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楚水实验学校</w:t>
            </w:r>
          </w:p>
        </w:tc>
        <w:tc>
          <w:tcPr>
            <w:tcW w:w="230" w:type="pct"/>
            <w:tcBorders>
              <w:top w:val="single" w:color="auto" w:sz="4" w:space="0"/>
              <w:left w:val="single" w:color="auto" w:sz="4" w:space="0"/>
              <w:bottom w:val="single" w:color="auto" w:sz="8"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5C-8</w:t>
            </w:r>
          </w:p>
        </w:tc>
        <w:tc>
          <w:tcPr>
            <w:tcW w:w="369" w:type="pct"/>
            <w:tcBorders>
              <w:top w:val="single" w:color="auto" w:sz="4" w:space="0"/>
              <w:left w:val="single" w:color="auto" w:sz="4" w:space="0"/>
              <w:bottom w:val="single" w:color="auto" w:sz="8"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从事高中化学教学及管理工作</w:t>
            </w:r>
          </w:p>
        </w:tc>
        <w:tc>
          <w:tcPr>
            <w:tcW w:w="185" w:type="pct"/>
            <w:tcBorders>
              <w:top w:val="single" w:color="auto" w:sz="4" w:space="0"/>
              <w:left w:val="single" w:color="auto" w:sz="4" w:space="0"/>
              <w:bottom w:val="single" w:color="auto" w:sz="8"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w:t>
            </w:r>
          </w:p>
        </w:tc>
        <w:tc>
          <w:tcPr>
            <w:tcW w:w="323" w:type="pct"/>
            <w:tcBorders>
              <w:top w:val="single" w:color="auto" w:sz="4" w:space="0"/>
              <w:left w:val="single" w:color="auto" w:sz="4" w:space="0"/>
              <w:bottom w:val="single" w:color="auto" w:sz="8"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Times New Roman"/>
                <w:color w:val="000000"/>
                <w:kern w:val="0"/>
                <w:sz w:val="20"/>
                <w:szCs w:val="20"/>
              </w:rPr>
            </w:pPr>
            <w:r>
              <w:rPr>
                <w:rFonts w:hint="eastAsia" w:ascii="宋体" w:hAnsi="宋体" w:eastAsia="宋体" w:cs="Times New Roman"/>
                <w:color w:val="000000"/>
                <w:kern w:val="0"/>
                <w:sz w:val="20"/>
                <w:szCs w:val="20"/>
              </w:rPr>
              <w:t>本科</w:t>
            </w:r>
          </w:p>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及以上</w:t>
            </w:r>
          </w:p>
        </w:tc>
        <w:tc>
          <w:tcPr>
            <w:tcW w:w="672" w:type="pct"/>
            <w:tcBorders>
              <w:top w:val="single" w:color="auto" w:sz="4" w:space="0"/>
              <w:left w:val="single" w:color="auto" w:sz="4" w:space="0"/>
              <w:bottom w:val="single" w:color="auto" w:sz="8"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化学及相关专业</w:t>
            </w:r>
          </w:p>
        </w:tc>
        <w:tc>
          <w:tcPr>
            <w:tcW w:w="849" w:type="pct"/>
            <w:vMerge w:val="continue"/>
            <w:tcBorders>
              <w:top w:val="single" w:color="auto" w:sz="4" w:space="0"/>
              <w:left w:val="single" w:color="auto" w:sz="4" w:space="0"/>
              <w:bottom w:val="single" w:color="auto" w:sz="8" w:space="0"/>
              <w:right w:val="single" w:color="auto" w:sz="4" w:space="0"/>
            </w:tcBorders>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553" w:type="pct"/>
            <w:vMerge w:val="continue"/>
            <w:tcBorders>
              <w:top w:val="single" w:color="auto" w:sz="4" w:space="0"/>
              <w:left w:val="single" w:color="auto" w:sz="4" w:space="0"/>
              <w:bottom w:val="single" w:color="auto" w:sz="8" w:space="0"/>
              <w:right w:val="single" w:color="auto" w:sz="4" w:space="0"/>
            </w:tcBorders>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kern w:val="0"/>
                <w:sz w:val="20"/>
                <w:szCs w:val="20"/>
              </w:rPr>
            </w:pPr>
          </w:p>
        </w:tc>
        <w:tc>
          <w:tcPr>
            <w:tcW w:w="185" w:type="pct"/>
            <w:vMerge w:val="continue"/>
            <w:tcBorders>
              <w:top w:val="single" w:color="auto" w:sz="4" w:space="0"/>
              <w:left w:val="single" w:color="auto" w:sz="4" w:space="0"/>
              <w:bottom w:val="single" w:color="auto" w:sz="8" w:space="0"/>
              <w:right w:val="single" w:color="auto" w:sz="4" w:space="0"/>
            </w:tcBorders>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276" w:type="pct"/>
            <w:vMerge w:val="continue"/>
            <w:tcBorders>
              <w:top w:val="single" w:color="auto" w:sz="4" w:space="0"/>
              <w:left w:val="single" w:color="auto" w:sz="4" w:space="0"/>
              <w:bottom w:val="single" w:color="auto" w:sz="8" w:space="0"/>
              <w:right w:val="single" w:color="auto" w:sz="4" w:space="0"/>
            </w:tcBorders>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561" w:type="pct"/>
            <w:vMerge w:val="continue"/>
            <w:tcBorders>
              <w:top w:val="single" w:color="auto" w:sz="4" w:space="0"/>
              <w:left w:val="single" w:color="auto" w:sz="4" w:space="0"/>
              <w:bottom w:val="single" w:color="auto" w:sz="8" w:space="0"/>
              <w:right w:val="single" w:color="auto" w:sz="8" w:space="0"/>
            </w:tcBorders>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color w:val="000000"/>
                <w:kern w:val="0"/>
                <w:sz w:val="20"/>
                <w:szCs w:val="20"/>
              </w:rPr>
            </w:pPr>
          </w:p>
        </w:tc>
      </w:tr>
      <w:tr>
        <w:tblPrEx>
          <w:tblCellMar>
            <w:top w:w="0" w:type="dxa"/>
            <w:left w:w="108" w:type="dxa"/>
            <w:bottom w:w="0" w:type="dxa"/>
            <w:right w:w="108" w:type="dxa"/>
          </w:tblCellMar>
        </w:tblPrEx>
        <w:trPr>
          <w:trHeight w:val="964" w:hRule="atLeast"/>
          <w:jc w:val="center"/>
        </w:trPr>
        <w:tc>
          <w:tcPr>
            <w:tcW w:w="285" w:type="pct"/>
            <w:tcBorders>
              <w:top w:val="single" w:color="auto" w:sz="8" w:space="0"/>
              <w:left w:val="single" w:color="auto" w:sz="8"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姜堰区</w:t>
            </w:r>
          </w:p>
        </w:tc>
        <w:tc>
          <w:tcPr>
            <w:tcW w:w="191" w:type="pct"/>
            <w:tcBorders>
              <w:top w:val="single" w:color="auto" w:sz="8" w:space="0"/>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6C</w:t>
            </w:r>
          </w:p>
        </w:tc>
        <w:tc>
          <w:tcPr>
            <w:tcW w:w="316" w:type="pct"/>
            <w:vMerge w:val="restart"/>
            <w:tcBorders>
              <w:top w:val="single" w:color="auto" w:sz="8"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江苏省姜堰中学等</w:t>
            </w:r>
            <w:r>
              <w:rPr>
                <w:rFonts w:hint="eastAsia" w:ascii="Times New Roman" w:hAnsi="Times New Roman" w:eastAsia="宋体" w:cs="宋体"/>
                <w:kern w:val="0"/>
                <w:sz w:val="20"/>
                <w:szCs w:val="20"/>
              </w:rPr>
              <w:t>3</w:t>
            </w:r>
            <w:r>
              <w:rPr>
                <w:rFonts w:hint="eastAsia" w:ascii="宋体" w:hAnsi="宋体" w:eastAsia="宋体" w:cs="宋体"/>
                <w:kern w:val="0"/>
                <w:sz w:val="20"/>
                <w:szCs w:val="20"/>
              </w:rPr>
              <w:t>家城区四星级高中</w:t>
            </w:r>
          </w:p>
        </w:tc>
        <w:tc>
          <w:tcPr>
            <w:tcW w:w="230" w:type="pct"/>
            <w:tcBorders>
              <w:top w:val="single" w:color="auto" w:sz="8" w:space="0"/>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6C-1</w:t>
            </w:r>
          </w:p>
        </w:tc>
        <w:tc>
          <w:tcPr>
            <w:tcW w:w="369" w:type="pct"/>
            <w:tcBorders>
              <w:top w:val="single" w:color="auto" w:sz="8" w:space="0"/>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0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从事高中数学竞赛教学及管理工作</w:t>
            </w:r>
          </w:p>
        </w:tc>
        <w:tc>
          <w:tcPr>
            <w:tcW w:w="185" w:type="pct"/>
            <w:tcBorders>
              <w:top w:val="single" w:color="auto" w:sz="8" w:space="0"/>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w:t>
            </w:r>
          </w:p>
        </w:tc>
        <w:tc>
          <w:tcPr>
            <w:tcW w:w="323" w:type="pct"/>
            <w:tcBorders>
              <w:top w:val="single" w:color="auto" w:sz="8" w:space="0"/>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Times New Roman"/>
                <w:kern w:val="0"/>
                <w:sz w:val="20"/>
                <w:szCs w:val="20"/>
              </w:rPr>
            </w:pPr>
            <w:r>
              <w:rPr>
                <w:rFonts w:hint="eastAsia" w:ascii="宋体" w:hAnsi="宋体" w:eastAsia="宋体" w:cs="Times New Roman"/>
                <w:kern w:val="0"/>
                <w:sz w:val="20"/>
                <w:szCs w:val="20"/>
              </w:rPr>
              <w:t>本科</w:t>
            </w:r>
          </w:p>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及以上</w:t>
            </w:r>
          </w:p>
        </w:tc>
        <w:tc>
          <w:tcPr>
            <w:tcW w:w="672" w:type="pct"/>
            <w:tcBorders>
              <w:top w:val="single" w:color="auto" w:sz="8" w:space="0"/>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不限</w:t>
            </w:r>
          </w:p>
        </w:tc>
        <w:tc>
          <w:tcPr>
            <w:tcW w:w="849" w:type="pct"/>
            <w:vMerge w:val="restart"/>
            <w:tcBorders>
              <w:top w:val="single" w:color="auto" w:sz="8"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C9</w:t>
            </w:r>
            <w:r>
              <w:rPr>
                <w:rFonts w:hint="eastAsia" w:ascii="宋体" w:hAnsi="宋体" w:eastAsia="宋体" w:cs="Times New Roman"/>
                <w:kern w:val="0"/>
                <w:sz w:val="20"/>
                <w:szCs w:val="20"/>
              </w:rPr>
              <w:t>联盟高校全日制本科及以上学历毕业生。</w:t>
            </w:r>
          </w:p>
        </w:tc>
        <w:tc>
          <w:tcPr>
            <w:tcW w:w="553" w:type="pct"/>
            <w:vMerge w:val="restart"/>
            <w:tcBorders>
              <w:top w:val="single" w:color="auto" w:sz="8" w:space="0"/>
              <w:left w:val="single" w:color="auto" w:sz="4" w:space="0"/>
              <w:bottom w:val="single" w:color="000000" w:sz="8"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left"/>
              <w:rPr>
                <w:rFonts w:hint="default" w:ascii="Times New Roman" w:hAnsi="Times New Roman" w:eastAsia="宋体" w:cs="Times New Roman"/>
                <w:color w:val="auto"/>
                <w:kern w:val="0"/>
                <w:sz w:val="20"/>
                <w:szCs w:val="20"/>
                <w:u w:val="none"/>
              </w:rPr>
            </w:pPr>
            <w:r>
              <w:rPr>
                <w:rFonts w:hint="default" w:ascii="Times New Roman" w:hAnsi="Times New Roman" w:eastAsia="宋体" w:cs="Times New Roman"/>
                <w:kern w:val="0"/>
                <w:sz w:val="20"/>
                <w:szCs w:val="20"/>
              </w:rPr>
              <w:t>报名网址：</w:t>
            </w:r>
            <w:r>
              <w:rPr>
                <w:rFonts w:hint="default" w:ascii="Times New Roman" w:hAnsi="Times New Roman" w:eastAsia="宋体" w:cs="Times New Roman"/>
                <w:color w:val="auto"/>
                <w:kern w:val="0"/>
                <w:sz w:val="20"/>
                <w:szCs w:val="20"/>
                <w:u w:val="none"/>
              </w:rPr>
              <w:fldChar w:fldCharType="begin"/>
            </w:r>
            <w:r>
              <w:rPr>
                <w:rFonts w:hint="default" w:ascii="Times New Roman" w:hAnsi="Times New Roman" w:eastAsia="宋体" w:cs="Times New Roman"/>
                <w:color w:val="auto"/>
                <w:kern w:val="0"/>
                <w:sz w:val="20"/>
                <w:szCs w:val="20"/>
                <w:u w:val="none"/>
              </w:rPr>
              <w:instrText xml:space="preserve"> HYPERLINK "http://www.tzjob.com" </w:instrText>
            </w:r>
            <w:r>
              <w:rPr>
                <w:rFonts w:hint="default" w:ascii="Times New Roman" w:hAnsi="Times New Roman" w:eastAsia="宋体" w:cs="Times New Roman"/>
                <w:color w:val="auto"/>
                <w:kern w:val="0"/>
                <w:sz w:val="20"/>
                <w:szCs w:val="20"/>
                <w:u w:val="none"/>
              </w:rPr>
              <w:fldChar w:fldCharType="separate"/>
            </w:r>
            <w:r>
              <w:rPr>
                <w:rStyle w:val="6"/>
                <w:rFonts w:hint="default" w:ascii="Times New Roman" w:hAnsi="Times New Roman" w:eastAsia="宋体" w:cs="Times New Roman"/>
                <w:color w:val="auto"/>
                <w:kern w:val="0"/>
                <w:sz w:val="20"/>
                <w:szCs w:val="20"/>
                <w:u w:val="none"/>
              </w:rPr>
              <w:t>www.tzjob.com</w:t>
            </w:r>
            <w:r>
              <w:rPr>
                <w:rFonts w:hint="default" w:ascii="Times New Roman" w:hAnsi="Times New Roman" w:eastAsia="宋体" w:cs="Times New Roman"/>
                <w:color w:val="auto"/>
                <w:kern w:val="0"/>
                <w:sz w:val="20"/>
                <w:szCs w:val="20"/>
                <w:u w:val="none"/>
              </w:rPr>
              <w:fldChar w:fldCharType="end"/>
            </w:r>
          </w:p>
          <w:p>
            <w:pPr>
              <w:widowControl/>
              <w:spacing w:line="240" w:lineRule="exact"/>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电子邮箱：88212184@163.com</w:t>
            </w:r>
            <w:r>
              <w:rPr>
                <w:rFonts w:hint="default" w:ascii="Times New Roman" w:hAnsi="Times New Roman" w:eastAsia="宋体" w:cs="Times New Roman"/>
                <w:kern w:val="0"/>
                <w:sz w:val="20"/>
                <w:szCs w:val="20"/>
              </w:rPr>
              <w:br w:type="textWrapping"/>
            </w:r>
            <w:r>
              <w:rPr>
                <w:rFonts w:hint="default" w:ascii="Times New Roman" w:hAnsi="Times New Roman" w:eastAsia="宋体" w:cs="Times New Roman"/>
                <w:kern w:val="0"/>
                <w:sz w:val="20"/>
                <w:szCs w:val="20"/>
              </w:rPr>
              <w:t>咨询电话：0523-88088506、0523-88986015</w:t>
            </w:r>
          </w:p>
        </w:tc>
        <w:tc>
          <w:tcPr>
            <w:tcW w:w="185" w:type="pct"/>
            <w:vMerge w:val="restart"/>
            <w:tcBorders>
              <w:top w:val="single" w:color="auto" w:sz="8"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276" w:type="pct"/>
            <w:vMerge w:val="restart"/>
            <w:tcBorders>
              <w:top w:val="single" w:color="auto" w:sz="8" w:space="0"/>
              <w:left w:val="single" w:color="auto" w:sz="4"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笔试+说课</w:t>
            </w:r>
          </w:p>
        </w:tc>
        <w:tc>
          <w:tcPr>
            <w:tcW w:w="561" w:type="pct"/>
            <w:vMerge w:val="restart"/>
            <w:tcBorders>
              <w:top w:val="single" w:color="auto" w:sz="8" w:space="0"/>
              <w:left w:val="single" w:color="auto" w:sz="4" w:space="0"/>
              <w:bottom w:val="single" w:color="auto" w:sz="4" w:space="0"/>
              <w:right w:val="single" w:color="auto" w:sz="8" w:space="0"/>
            </w:tcBorders>
            <w:shd w:val="clear" w:color="auto" w:fill="auto"/>
            <w:tcMar>
              <w:top w:w="28" w:type="dxa"/>
              <w:left w:w="57" w:type="dxa"/>
              <w:bottom w:w="28" w:type="dxa"/>
              <w:right w:w="57" w:type="dxa"/>
            </w:tcMar>
            <w:vAlign w:val="center"/>
          </w:tcPr>
          <w:p>
            <w:pPr>
              <w:widowControl/>
              <w:spacing w:line="240" w:lineRule="exact"/>
              <w:rPr>
                <w:rFonts w:ascii="Times New Roman" w:hAnsi="Times New Roman" w:eastAsia="宋体" w:cs="Times New Roman"/>
                <w:color w:val="000000"/>
                <w:spacing w:val="-6"/>
                <w:kern w:val="0"/>
                <w:sz w:val="20"/>
                <w:szCs w:val="20"/>
              </w:rPr>
            </w:pPr>
            <w:r>
              <w:rPr>
                <w:rFonts w:hint="eastAsia" w:ascii="宋体" w:hAnsi="宋体" w:eastAsia="宋体" w:cs="Times New Roman"/>
                <w:color w:val="000000"/>
                <w:spacing w:val="-12"/>
                <w:kern w:val="0"/>
                <w:sz w:val="20"/>
                <w:szCs w:val="20"/>
              </w:rPr>
              <w:t>本科生、硕士研究生、博士研究生（按符合招聘要求的最高学历）年薪分别不低于</w:t>
            </w:r>
            <w:r>
              <w:rPr>
                <w:rFonts w:ascii="Times New Roman" w:hAnsi="Times New Roman" w:eastAsia="宋体" w:cs="Times New Roman"/>
                <w:color w:val="000000"/>
                <w:spacing w:val="-12"/>
                <w:kern w:val="0"/>
                <w:sz w:val="20"/>
                <w:szCs w:val="20"/>
              </w:rPr>
              <w:t>30</w:t>
            </w:r>
            <w:r>
              <w:rPr>
                <w:rFonts w:hint="eastAsia" w:ascii="宋体" w:hAnsi="宋体" w:eastAsia="宋体" w:cs="Times New Roman"/>
                <w:color w:val="000000"/>
                <w:spacing w:val="-12"/>
                <w:kern w:val="0"/>
                <w:sz w:val="20"/>
                <w:szCs w:val="20"/>
              </w:rPr>
              <w:t>万元、</w:t>
            </w:r>
            <w:r>
              <w:rPr>
                <w:rFonts w:ascii="Times New Roman" w:hAnsi="Times New Roman" w:eastAsia="宋体" w:cs="Times New Roman"/>
                <w:color w:val="000000"/>
                <w:spacing w:val="-12"/>
                <w:kern w:val="0"/>
                <w:sz w:val="20"/>
                <w:szCs w:val="20"/>
              </w:rPr>
              <w:t>40</w:t>
            </w:r>
            <w:r>
              <w:rPr>
                <w:rFonts w:hint="eastAsia" w:ascii="宋体" w:hAnsi="宋体" w:eastAsia="宋体" w:cs="Times New Roman"/>
                <w:color w:val="000000"/>
                <w:spacing w:val="-12"/>
                <w:kern w:val="0"/>
                <w:sz w:val="20"/>
                <w:szCs w:val="20"/>
              </w:rPr>
              <w:t>万元、</w:t>
            </w:r>
            <w:r>
              <w:rPr>
                <w:rFonts w:ascii="Times New Roman" w:hAnsi="Times New Roman" w:eastAsia="宋体" w:cs="Times New Roman"/>
                <w:color w:val="000000"/>
                <w:spacing w:val="-12"/>
                <w:kern w:val="0"/>
                <w:sz w:val="20"/>
                <w:szCs w:val="20"/>
              </w:rPr>
              <w:t>50</w:t>
            </w:r>
            <w:r>
              <w:rPr>
                <w:rFonts w:hint="eastAsia" w:ascii="宋体" w:hAnsi="宋体" w:eastAsia="宋体" w:cs="Times New Roman"/>
                <w:color w:val="000000"/>
                <w:spacing w:val="-12"/>
                <w:kern w:val="0"/>
                <w:sz w:val="20"/>
                <w:szCs w:val="20"/>
              </w:rPr>
              <w:t>万元，且随教师收入增加进行相应调整；入职后，分别发放一次性入职奖励</w:t>
            </w:r>
            <w:r>
              <w:rPr>
                <w:rFonts w:ascii="Times New Roman" w:hAnsi="Times New Roman" w:eastAsia="宋体" w:cs="Times New Roman"/>
                <w:color w:val="000000"/>
                <w:spacing w:val="-12"/>
                <w:kern w:val="0"/>
                <w:sz w:val="20"/>
                <w:szCs w:val="20"/>
              </w:rPr>
              <w:t>15</w:t>
            </w:r>
            <w:r>
              <w:rPr>
                <w:rFonts w:hint="eastAsia" w:ascii="宋体" w:hAnsi="宋体" w:eastAsia="宋体" w:cs="Times New Roman"/>
                <w:color w:val="000000"/>
                <w:spacing w:val="-12"/>
                <w:kern w:val="0"/>
                <w:sz w:val="20"/>
                <w:szCs w:val="20"/>
              </w:rPr>
              <w:t>万元、</w:t>
            </w:r>
            <w:r>
              <w:rPr>
                <w:rFonts w:ascii="Times New Roman" w:hAnsi="Times New Roman" w:eastAsia="宋体" w:cs="Times New Roman"/>
                <w:color w:val="000000"/>
                <w:spacing w:val="-12"/>
                <w:kern w:val="0"/>
                <w:sz w:val="20"/>
                <w:szCs w:val="20"/>
              </w:rPr>
              <w:t>20</w:t>
            </w:r>
            <w:r>
              <w:rPr>
                <w:rFonts w:hint="eastAsia" w:ascii="宋体" w:hAnsi="宋体" w:eastAsia="宋体" w:cs="Times New Roman"/>
                <w:color w:val="000000"/>
                <w:spacing w:val="-12"/>
                <w:kern w:val="0"/>
                <w:sz w:val="20"/>
                <w:szCs w:val="20"/>
              </w:rPr>
              <w:t>万元、</w:t>
            </w:r>
            <w:r>
              <w:rPr>
                <w:rFonts w:ascii="Times New Roman" w:hAnsi="Times New Roman" w:eastAsia="宋体" w:cs="Times New Roman"/>
                <w:color w:val="000000"/>
                <w:spacing w:val="-12"/>
                <w:kern w:val="0"/>
                <w:sz w:val="20"/>
                <w:szCs w:val="20"/>
              </w:rPr>
              <w:t>30</w:t>
            </w:r>
            <w:r>
              <w:rPr>
                <w:rFonts w:hint="eastAsia" w:ascii="宋体" w:hAnsi="宋体" w:eastAsia="宋体" w:cs="Times New Roman"/>
                <w:color w:val="000000"/>
                <w:spacing w:val="-12"/>
                <w:kern w:val="0"/>
                <w:sz w:val="20"/>
                <w:szCs w:val="20"/>
              </w:rPr>
              <w:t>万元，工作满五年业绩突出者给予最高</w:t>
            </w:r>
            <w:r>
              <w:rPr>
                <w:rFonts w:ascii="Times New Roman" w:hAnsi="Times New Roman" w:eastAsia="宋体" w:cs="Times New Roman"/>
                <w:color w:val="000000"/>
                <w:spacing w:val="-12"/>
                <w:kern w:val="0"/>
                <w:sz w:val="20"/>
                <w:szCs w:val="20"/>
              </w:rPr>
              <w:t>100</w:t>
            </w:r>
            <w:r>
              <w:rPr>
                <w:rFonts w:hint="eastAsia" w:ascii="宋体" w:hAnsi="宋体" w:eastAsia="宋体" w:cs="Times New Roman"/>
                <w:color w:val="000000"/>
                <w:spacing w:val="-12"/>
                <w:kern w:val="0"/>
                <w:sz w:val="20"/>
                <w:szCs w:val="20"/>
              </w:rPr>
              <w:t>万元优才补贴（含五年内的奖金）。</w:t>
            </w:r>
          </w:p>
        </w:tc>
      </w:tr>
      <w:tr>
        <w:tblPrEx>
          <w:tblCellMar>
            <w:top w:w="0" w:type="dxa"/>
            <w:left w:w="108" w:type="dxa"/>
            <w:bottom w:w="0" w:type="dxa"/>
            <w:right w:w="108" w:type="dxa"/>
          </w:tblCellMar>
        </w:tblPrEx>
        <w:trPr>
          <w:trHeight w:val="964" w:hRule="atLeast"/>
          <w:jc w:val="center"/>
        </w:trPr>
        <w:tc>
          <w:tcPr>
            <w:tcW w:w="285" w:type="pct"/>
            <w:tcBorders>
              <w:top w:val="nil"/>
              <w:left w:val="single" w:color="auto" w:sz="8"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姜堰区</w:t>
            </w:r>
          </w:p>
        </w:tc>
        <w:tc>
          <w:tcPr>
            <w:tcW w:w="191" w:type="pct"/>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6C</w:t>
            </w:r>
          </w:p>
        </w:tc>
        <w:tc>
          <w:tcPr>
            <w:tcW w:w="316" w:type="pct"/>
            <w:vMerge w:val="continue"/>
            <w:tcBorders>
              <w:top w:val="nil"/>
              <w:left w:val="single" w:color="auto" w:sz="4" w:space="0"/>
              <w:bottom w:val="single" w:color="auto" w:sz="4" w:space="0"/>
              <w:right w:val="single" w:color="auto" w:sz="4" w:space="0"/>
            </w:tcBorders>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230" w:type="pct"/>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6C-2</w:t>
            </w:r>
          </w:p>
        </w:tc>
        <w:tc>
          <w:tcPr>
            <w:tcW w:w="369" w:type="pct"/>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00" w:lineRule="exact"/>
              <w:jc w:val="center"/>
              <w:rPr>
                <w:rFonts w:ascii="宋体" w:hAnsi="宋体" w:eastAsia="宋体" w:cs="宋体"/>
                <w:kern w:val="0"/>
                <w:sz w:val="20"/>
                <w:szCs w:val="20"/>
              </w:rPr>
            </w:pPr>
            <w:r>
              <w:rPr>
                <w:rFonts w:hint="eastAsia" w:ascii="宋体" w:hAnsi="宋体" w:eastAsia="宋体" w:cs="宋体"/>
                <w:kern w:val="0"/>
                <w:sz w:val="20"/>
                <w:szCs w:val="20"/>
              </w:rPr>
              <w:t>从事高中化学竞赛教学及管理工作</w:t>
            </w:r>
          </w:p>
        </w:tc>
        <w:tc>
          <w:tcPr>
            <w:tcW w:w="185" w:type="pct"/>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w:t>
            </w:r>
          </w:p>
        </w:tc>
        <w:tc>
          <w:tcPr>
            <w:tcW w:w="323" w:type="pct"/>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Times New Roman"/>
                <w:kern w:val="0"/>
                <w:sz w:val="20"/>
                <w:szCs w:val="20"/>
              </w:rPr>
            </w:pPr>
            <w:r>
              <w:rPr>
                <w:rFonts w:hint="eastAsia" w:ascii="宋体" w:hAnsi="宋体" w:eastAsia="宋体" w:cs="Times New Roman"/>
                <w:kern w:val="0"/>
                <w:sz w:val="20"/>
                <w:szCs w:val="20"/>
              </w:rPr>
              <w:t>本科</w:t>
            </w:r>
          </w:p>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及以上</w:t>
            </w:r>
          </w:p>
        </w:tc>
        <w:tc>
          <w:tcPr>
            <w:tcW w:w="672" w:type="pct"/>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不限</w:t>
            </w:r>
          </w:p>
        </w:tc>
        <w:tc>
          <w:tcPr>
            <w:tcW w:w="849" w:type="pct"/>
            <w:vMerge w:val="continue"/>
            <w:tcBorders>
              <w:top w:val="single" w:color="auto" w:sz="4" w:space="0"/>
              <w:left w:val="single" w:color="auto" w:sz="4" w:space="0"/>
              <w:bottom w:val="single" w:color="auto" w:sz="4" w:space="0"/>
              <w:right w:val="single" w:color="auto" w:sz="4" w:space="0"/>
            </w:tcBorders>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553" w:type="pct"/>
            <w:vMerge w:val="continue"/>
            <w:tcBorders>
              <w:top w:val="single" w:color="auto" w:sz="4" w:space="0"/>
              <w:left w:val="single" w:color="auto" w:sz="4" w:space="0"/>
              <w:bottom w:val="single" w:color="000000" w:sz="8" w:space="0"/>
              <w:right w:val="single" w:color="auto" w:sz="4" w:space="0"/>
            </w:tcBorders>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185" w:type="pct"/>
            <w:vMerge w:val="continue"/>
            <w:tcBorders>
              <w:top w:val="single" w:color="auto" w:sz="4" w:space="0"/>
              <w:left w:val="single" w:color="auto" w:sz="4" w:space="0"/>
              <w:bottom w:val="single" w:color="auto" w:sz="4" w:space="0"/>
              <w:right w:val="single" w:color="auto" w:sz="4" w:space="0"/>
            </w:tcBorders>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276" w:type="pct"/>
            <w:vMerge w:val="continue"/>
            <w:tcBorders>
              <w:top w:val="single" w:color="auto" w:sz="4" w:space="0"/>
              <w:left w:val="single" w:color="auto" w:sz="4" w:space="0"/>
              <w:bottom w:val="single" w:color="auto" w:sz="4" w:space="0"/>
              <w:right w:val="single" w:color="auto" w:sz="4" w:space="0"/>
            </w:tcBorders>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561" w:type="pct"/>
            <w:vMerge w:val="continue"/>
            <w:tcBorders>
              <w:top w:val="single" w:color="auto" w:sz="4" w:space="0"/>
              <w:left w:val="single" w:color="auto" w:sz="4" w:space="0"/>
              <w:bottom w:val="single" w:color="auto" w:sz="4" w:space="0"/>
              <w:right w:val="single" w:color="auto" w:sz="8" w:space="0"/>
            </w:tcBorders>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color w:val="000000"/>
                <w:kern w:val="0"/>
                <w:sz w:val="20"/>
                <w:szCs w:val="20"/>
              </w:rPr>
            </w:pPr>
          </w:p>
        </w:tc>
      </w:tr>
      <w:tr>
        <w:tblPrEx>
          <w:tblCellMar>
            <w:top w:w="0" w:type="dxa"/>
            <w:left w:w="108" w:type="dxa"/>
            <w:bottom w:w="0" w:type="dxa"/>
            <w:right w:w="108" w:type="dxa"/>
          </w:tblCellMar>
        </w:tblPrEx>
        <w:trPr>
          <w:trHeight w:val="964" w:hRule="atLeast"/>
          <w:jc w:val="center"/>
        </w:trPr>
        <w:tc>
          <w:tcPr>
            <w:tcW w:w="285" w:type="pct"/>
            <w:tcBorders>
              <w:top w:val="nil"/>
              <w:left w:val="single" w:color="auto" w:sz="8"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姜堰区</w:t>
            </w:r>
          </w:p>
        </w:tc>
        <w:tc>
          <w:tcPr>
            <w:tcW w:w="191" w:type="pct"/>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6C</w:t>
            </w:r>
          </w:p>
        </w:tc>
        <w:tc>
          <w:tcPr>
            <w:tcW w:w="316" w:type="pct"/>
            <w:vMerge w:val="continue"/>
            <w:tcBorders>
              <w:top w:val="nil"/>
              <w:left w:val="single" w:color="auto" w:sz="4" w:space="0"/>
              <w:bottom w:val="single" w:color="auto" w:sz="4" w:space="0"/>
              <w:right w:val="single" w:color="auto" w:sz="4" w:space="0"/>
            </w:tcBorders>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230" w:type="pct"/>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6C-3</w:t>
            </w:r>
          </w:p>
        </w:tc>
        <w:tc>
          <w:tcPr>
            <w:tcW w:w="369" w:type="pct"/>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0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从事高中物理竞赛教学及管理工作</w:t>
            </w:r>
          </w:p>
        </w:tc>
        <w:tc>
          <w:tcPr>
            <w:tcW w:w="185" w:type="pct"/>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w:t>
            </w:r>
          </w:p>
        </w:tc>
        <w:tc>
          <w:tcPr>
            <w:tcW w:w="323" w:type="pct"/>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Times New Roman"/>
                <w:kern w:val="0"/>
                <w:sz w:val="20"/>
                <w:szCs w:val="20"/>
              </w:rPr>
            </w:pPr>
            <w:r>
              <w:rPr>
                <w:rFonts w:hint="eastAsia" w:ascii="宋体" w:hAnsi="宋体" w:eastAsia="宋体" w:cs="Times New Roman"/>
                <w:kern w:val="0"/>
                <w:sz w:val="20"/>
                <w:szCs w:val="20"/>
              </w:rPr>
              <w:t>本科</w:t>
            </w:r>
          </w:p>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及以上</w:t>
            </w:r>
          </w:p>
        </w:tc>
        <w:tc>
          <w:tcPr>
            <w:tcW w:w="672" w:type="pct"/>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不限</w:t>
            </w:r>
          </w:p>
        </w:tc>
        <w:tc>
          <w:tcPr>
            <w:tcW w:w="849" w:type="pct"/>
            <w:vMerge w:val="continue"/>
            <w:tcBorders>
              <w:top w:val="single" w:color="auto" w:sz="4" w:space="0"/>
              <w:left w:val="single" w:color="auto" w:sz="4" w:space="0"/>
              <w:bottom w:val="single" w:color="auto" w:sz="4" w:space="0"/>
              <w:right w:val="single" w:color="auto" w:sz="4" w:space="0"/>
            </w:tcBorders>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553" w:type="pct"/>
            <w:vMerge w:val="continue"/>
            <w:tcBorders>
              <w:top w:val="single" w:color="auto" w:sz="4" w:space="0"/>
              <w:left w:val="single" w:color="auto" w:sz="4" w:space="0"/>
              <w:bottom w:val="single" w:color="000000" w:sz="8" w:space="0"/>
              <w:right w:val="single" w:color="auto" w:sz="4" w:space="0"/>
            </w:tcBorders>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185" w:type="pct"/>
            <w:vMerge w:val="continue"/>
            <w:tcBorders>
              <w:top w:val="single" w:color="auto" w:sz="4" w:space="0"/>
              <w:left w:val="single" w:color="auto" w:sz="4" w:space="0"/>
              <w:bottom w:val="single" w:color="auto" w:sz="4" w:space="0"/>
              <w:right w:val="single" w:color="auto" w:sz="4" w:space="0"/>
            </w:tcBorders>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276" w:type="pct"/>
            <w:vMerge w:val="continue"/>
            <w:tcBorders>
              <w:top w:val="single" w:color="auto" w:sz="4" w:space="0"/>
              <w:left w:val="single" w:color="auto" w:sz="4" w:space="0"/>
              <w:bottom w:val="single" w:color="auto" w:sz="4" w:space="0"/>
              <w:right w:val="single" w:color="auto" w:sz="4" w:space="0"/>
            </w:tcBorders>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561" w:type="pct"/>
            <w:vMerge w:val="continue"/>
            <w:tcBorders>
              <w:top w:val="single" w:color="auto" w:sz="4" w:space="0"/>
              <w:left w:val="single" w:color="auto" w:sz="4" w:space="0"/>
              <w:bottom w:val="single" w:color="auto" w:sz="4" w:space="0"/>
              <w:right w:val="single" w:color="auto" w:sz="8" w:space="0"/>
            </w:tcBorders>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color w:val="000000"/>
                <w:kern w:val="0"/>
                <w:sz w:val="20"/>
                <w:szCs w:val="20"/>
              </w:rPr>
            </w:pPr>
          </w:p>
        </w:tc>
      </w:tr>
      <w:tr>
        <w:tblPrEx>
          <w:tblCellMar>
            <w:top w:w="0" w:type="dxa"/>
            <w:left w:w="108" w:type="dxa"/>
            <w:bottom w:w="0" w:type="dxa"/>
            <w:right w:w="108" w:type="dxa"/>
          </w:tblCellMar>
        </w:tblPrEx>
        <w:trPr>
          <w:trHeight w:val="964" w:hRule="atLeast"/>
          <w:jc w:val="center"/>
        </w:trPr>
        <w:tc>
          <w:tcPr>
            <w:tcW w:w="285" w:type="pct"/>
            <w:tcBorders>
              <w:top w:val="nil"/>
              <w:left w:val="single" w:color="auto" w:sz="8"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姜堰区</w:t>
            </w:r>
          </w:p>
        </w:tc>
        <w:tc>
          <w:tcPr>
            <w:tcW w:w="191" w:type="pct"/>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6C</w:t>
            </w:r>
          </w:p>
        </w:tc>
        <w:tc>
          <w:tcPr>
            <w:tcW w:w="316" w:type="pct"/>
            <w:vMerge w:val="continue"/>
            <w:tcBorders>
              <w:top w:val="nil"/>
              <w:left w:val="single" w:color="auto" w:sz="4" w:space="0"/>
              <w:bottom w:val="single" w:color="auto" w:sz="4" w:space="0"/>
              <w:right w:val="single" w:color="auto" w:sz="4" w:space="0"/>
            </w:tcBorders>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230" w:type="pct"/>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6C-4</w:t>
            </w:r>
          </w:p>
        </w:tc>
        <w:tc>
          <w:tcPr>
            <w:tcW w:w="369" w:type="pct"/>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00" w:lineRule="exact"/>
              <w:jc w:val="center"/>
              <w:rPr>
                <w:rFonts w:ascii="宋体" w:hAnsi="宋体" w:eastAsia="宋体" w:cs="宋体"/>
                <w:kern w:val="0"/>
                <w:sz w:val="20"/>
                <w:szCs w:val="20"/>
              </w:rPr>
            </w:pPr>
            <w:r>
              <w:rPr>
                <w:rFonts w:hint="eastAsia" w:ascii="宋体" w:hAnsi="宋体" w:eastAsia="宋体" w:cs="宋体"/>
                <w:kern w:val="0"/>
                <w:sz w:val="20"/>
                <w:szCs w:val="20"/>
              </w:rPr>
              <w:t>从事高中生物竞赛教学及管理工作</w:t>
            </w:r>
          </w:p>
        </w:tc>
        <w:tc>
          <w:tcPr>
            <w:tcW w:w="185" w:type="pct"/>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w:t>
            </w:r>
          </w:p>
        </w:tc>
        <w:tc>
          <w:tcPr>
            <w:tcW w:w="323" w:type="pct"/>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Times New Roman"/>
                <w:kern w:val="0"/>
                <w:sz w:val="20"/>
                <w:szCs w:val="20"/>
              </w:rPr>
            </w:pPr>
            <w:r>
              <w:rPr>
                <w:rFonts w:hint="eastAsia" w:ascii="宋体" w:hAnsi="宋体" w:eastAsia="宋体" w:cs="Times New Roman"/>
                <w:kern w:val="0"/>
                <w:sz w:val="20"/>
                <w:szCs w:val="20"/>
              </w:rPr>
              <w:t>本科</w:t>
            </w:r>
          </w:p>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及以上</w:t>
            </w:r>
          </w:p>
        </w:tc>
        <w:tc>
          <w:tcPr>
            <w:tcW w:w="672" w:type="pct"/>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不限</w:t>
            </w:r>
          </w:p>
        </w:tc>
        <w:tc>
          <w:tcPr>
            <w:tcW w:w="849" w:type="pct"/>
            <w:vMerge w:val="continue"/>
            <w:tcBorders>
              <w:top w:val="single" w:color="auto" w:sz="4" w:space="0"/>
              <w:left w:val="single" w:color="auto" w:sz="4" w:space="0"/>
              <w:bottom w:val="single" w:color="auto" w:sz="4" w:space="0"/>
              <w:right w:val="single" w:color="auto" w:sz="4" w:space="0"/>
            </w:tcBorders>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553" w:type="pct"/>
            <w:vMerge w:val="continue"/>
            <w:tcBorders>
              <w:top w:val="single" w:color="auto" w:sz="4" w:space="0"/>
              <w:left w:val="single" w:color="auto" w:sz="4" w:space="0"/>
              <w:bottom w:val="single" w:color="000000" w:sz="8" w:space="0"/>
              <w:right w:val="single" w:color="auto" w:sz="4" w:space="0"/>
            </w:tcBorders>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185" w:type="pct"/>
            <w:vMerge w:val="continue"/>
            <w:tcBorders>
              <w:top w:val="single" w:color="auto" w:sz="4" w:space="0"/>
              <w:left w:val="single" w:color="auto" w:sz="4" w:space="0"/>
              <w:bottom w:val="single" w:color="auto" w:sz="4" w:space="0"/>
              <w:right w:val="single" w:color="auto" w:sz="4" w:space="0"/>
            </w:tcBorders>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276" w:type="pct"/>
            <w:vMerge w:val="continue"/>
            <w:tcBorders>
              <w:top w:val="single" w:color="auto" w:sz="4" w:space="0"/>
              <w:left w:val="single" w:color="auto" w:sz="4" w:space="0"/>
              <w:bottom w:val="single" w:color="auto" w:sz="4" w:space="0"/>
              <w:right w:val="single" w:color="auto" w:sz="4" w:space="0"/>
            </w:tcBorders>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561" w:type="pct"/>
            <w:vMerge w:val="continue"/>
            <w:tcBorders>
              <w:top w:val="single" w:color="auto" w:sz="4" w:space="0"/>
              <w:left w:val="single" w:color="auto" w:sz="4" w:space="0"/>
              <w:bottom w:val="single" w:color="auto" w:sz="4" w:space="0"/>
              <w:right w:val="single" w:color="auto" w:sz="8" w:space="0"/>
            </w:tcBorders>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color w:val="000000"/>
                <w:kern w:val="0"/>
                <w:sz w:val="20"/>
                <w:szCs w:val="20"/>
              </w:rPr>
            </w:pPr>
          </w:p>
        </w:tc>
      </w:tr>
      <w:tr>
        <w:tblPrEx>
          <w:tblCellMar>
            <w:top w:w="0" w:type="dxa"/>
            <w:left w:w="108" w:type="dxa"/>
            <w:bottom w:w="0" w:type="dxa"/>
            <w:right w:w="108" w:type="dxa"/>
          </w:tblCellMar>
        </w:tblPrEx>
        <w:trPr>
          <w:trHeight w:val="340" w:hRule="atLeast"/>
          <w:jc w:val="center"/>
        </w:trPr>
        <w:tc>
          <w:tcPr>
            <w:tcW w:w="285" w:type="pct"/>
            <w:tcBorders>
              <w:top w:val="nil"/>
              <w:left w:val="single" w:color="auto" w:sz="8"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姜堰区</w:t>
            </w:r>
          </w:p>
        </w:tc>
        <w:tc>
          <w:tcPr>
            <w:tcW w:w="191" w:type="pct"/>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6C</w:t>
            </w:r>
          </w:p>
        </w:tc>
        <w:tc>
          <w:tcPr>
            <w:tcW w:w="316" w:type="pct"/>
            <w:vMerge w:val="restart"/>
            <w:tcBorders>
              <w:top w:val="nil"/>
              <w:left w:val="single" w:color="auto" w:sz="4" w:space="0"/>
              <w:bottom w:val="single" w:color="000000" w:sz="8"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江苏省姜堰中学等</w:t>
            </w:r>
            <w:r>
              <w:rPr>
                <w:rFonts w:hint="eastAsia" w:ascii="Times New Roman" w:hAnsi="Times New Roman" w:eastAsia="宋体" w:cs="宋体"/>
                <w:kern w:val="0"/>
                <w:sz w:val="20"/>
                <w:szCs w:val="20"/>
              </w:rPr>
              <w:t>3</w:t>
            </w:r>
            <w:r>
              <w:rPr>
                <w:rFonts w:hint="eastAsia" w:ascii="宋体" w:hAnsi="宋体" w:eastAsia="宋体" w:cs="宋体"/>
                <w:kern w:val="0"/>
                <w:sz w:val="20"/>
                <w:szCs w:val="20"/>
              </w:rPr>
              <w:t>家城区四星级高中</w:t>
            </w:r>
          </w:p>
        </w:tc>
        <w:tc>
          <w:tcPr>
            <w:tcW w:w="230" w:type="pct"/>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6C-5</w:t>
            </w:r>
          </w:p>
        </w:tc>
        <w:tc>
          <w:tcPr>
            <w:tcW w:w="369" w:type="pct"/>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00" w:lineRule="exact"/>
              <w:jc w:val="center"/>
              <w:rPr>
                <w:rFonts w:ascii="宋体" w:hAnsi="宋体" w:eastAsia="宋体" w:cs="宋体"/>
                <w:kern w:val="0"/>
                <w:sz w:val="20"/>
                <w:szCs w:val="20"/>
              </w:rPr>
            </w:pPr>
            <w:r>
              <w:rPr>
                <w:rFonts w:hint="eastAsia" w:ascii="宋体" w:hAnsi="宋体" w:eastAsia="宋体" w:cs="宋体"/>
                <w:kern w:val="0"/>
                <w:sz w:val="20"/>
                <w:szCs w:val="20"/>
              </w:rPr>
              <w:t>从事高中语文教学及管理工作</w:t>
            </w:r>
          </w:p>
        </w:tc>
        <w:tc>
          <w:tcPr>
            <w:tcW w:w="185" w:type="pct"/>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w:t>
            </w:r>
          </w:p>
        </w:tc>
        <w:tc>
          <w:tcPr>
            <w:tcW w:w="323" w:type="pct"/>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Times New Roman"/>
                <w:kern w:val="0"/>
                <w:sz w:val="20"/>
                <w:szCs w:val="20"/>
              </w:rPr>
            </w:pPr>
            <w:r>
              <w:rPr>
                <w:rFonts w:hint="eastAsia" w:ascii="宋体" w:hAnsi="宋体" w:eastAsia="宋体" w:cs="Times New Roman"/>
                <w:kern w:val="0"/>
                <w:sz w:val="20"/>
                <w:szCs w:val="20"/>
              </w:rPr>
              <w:t>本科</w:t>
            </w:r>
          </w:p>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及以上</w:t>
            </w:r>
          </w:p>
        </w:tc>
        <w:tc>
          <w:tcPr>
            <w:tcW w:w="672" w:type="pct"/>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语文及相关专业</w:t>
            </w:r>
          </w:p>
        </w:tc>
        <w:tc>
          <w:tcPr>
            <w:tcW w:w="849" w:type="pct"/>
            <w:vMerge w:val="restart"/>
            <w:tcBorders>
              <w:top w:val="nil"/>
              <w:left w:val="single" w:color="auto" w:sz="4" w:space="0"/>
              <w:bottom w:val="single" w:color="000000" w:sz="8"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left"/>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应具备以下条件之一：</w:t>
            </w:r>
            <w:r>
              <w:rPr>
                <w:rFonts w:hint="eastAsia" w:ascii="宋体" w:hAnsi="宋体" w:eastAsia="宋体" w:cs="宋体"/>
                <w:kern w:val="0"/>
                <w:sz w:val="20"/>
                <w:szCs w:val="20"/>
              </w:rPr>
              <w:br w:type="textWrapping"/>
            </w:r>
            <w:r>
              <w:rPr>
                <w:rFonts w:hint="eastAsia" w:ascii="Times New Roman" w:hAnsi="Times New Roman" w:eastAsia="宋体" w:cs="宋体"/>
                <w:kern w:val="0"/>
                <w:sz w:val="20"/>
                <w:szCs w:val="20"/>
              </w:rPr>
              <w:t>1</w:t>
            </w:r>
            <w:r>
              <w:rPr>
                <w:rFonts w:hint="eastAsia" w:ascii="宋体" w:hAnsi="宋体" w:eastAsia="宋体" w:cs="宋体"/>
                <w:kern w:val="0"/>
                <w:sz w:val="20"/>
                <w:szCs w:val="20"/>
              </w:rPr>
              <w:t>.第一轮“一流大学”建设高校全日制本科及以上学历毕业生</w:t>
            </w:r>
            <w:r>
              <w:rPr>
                <w:rFonts w:hint="eastAsia" w:ascii="宋体" w:hAnsi="宋体" w:eastAsia="宋体" w:cs="宋体"/>
                <w:kern w:val="0"/>
                <w:sz w:val="20"/>
                <w:szCs w:val="20"/>
                <w:lang w:val="en-US" w:eastAsia="zh-CN"/>
              </w:rPr>
              <w:t>;</w:t>
            </w:r>
            <w:r>
              <w:rPr>
                <w:rFonts w:hint="eastAsia" w:ascii="宋体" w:hAnsi="宋体" w:eastAsia="宋体" w:cs="宋体"/>
                <w:kern w:val="0"/>
                <w:sz w:val="20"/>
                <w:szCs w:val="20"/>
              </w:rPr>
              <w:br w:type="textWrapping"/>
            </w:r>
            <w:r>
              <w:rPr>
                <w:rFonts w:hint="eastAsia" w:ascii="Times New Roman" w:hAnsi="Times New Roman" w:eastAsia="宋体" w:cs="宋体"/>
                <w:kern w:val="0"/>
                <w:sz w:val="20"/>
                <w:szCs w:val="20"/>
              </w:rPr>
              <w:t>2</w:t>
            </w:r>
            <w:r>
              <w:rPr>
                <w:rFonts w:hint="eastAsia" w:ascii="宋体" w:hAnsi="宋体" w:eastAsia="宋体" w:cs="宋体"/>
                <w:kern w:val="0"/>
                <w:sz w:val="20"/>
                <w:szCs w:val="20"/>
              </w:rPr>
              <w:t>.第二轮“双一流”建设高校全日制硕士研究生及以上学历毕业生</w:t>
            </w:r>
            <w:r>
              <w:rPr>
                <w:rFonts w:hint="eastAsia" w:ascii="宋体" w:hAnsi="宋体" w:eastAsia="宋体" w:cs="宋体"/>
                <w:kern w:val="0"/>
                <w:sz w:val="20"/>
                <w:szCs w:val="20"/>
                <w:lang w:val="en-US" w:eastAsia="zh-CN"/>
              </w:rPr>
              <w:t>;</w:t>
            </w:r>
          </w:p>
          <w:p>
            <w:pPr>
              <w:widowControl/>
              <w:spacing w:line="240" w:lineRule="exact"/>
              <w:jc w:val="left"/>
              <w:rPr>
                <w:rFonts w:ascii="宋体" w:hAnsi="宋体" w:eastAsia="宋体" w:cs="宋体"/>
                <w:kern w:val="0"/>
                <w:sz w:val="20"/>
                <w:szCs w:val="20"/>
              </w:rPr>
            </w:pPr>
            <w:r>
              <w:rPr>
                <w:rFonts w:hint="eastAsia" w:ascii="Times New Roman" w:hAnsi="Times New Roman" w:eastAsia="宋体" w:cs="宋体"/>
                <w:kern w:val="0"/>
                <w:sz w:val="20"/>
                <w:szCs w:val="20"/>
              </w:rPr>
              <w:t>3</w:t>
            </w:r>
            <w:r>
              <w:rPr>
                <w:rFonts w:hint="eastAsia" w:ascii="宋体" w:hAnsi="宋体" w:eastAsia="宋体" w:cs="宋体"/>
                <w:kern w:val="0"/>
                <w:sz w:val="20"/>
                <w:szCs w:val="20"/>
              </w:rPr>
              <w:t>.最新世界大学排名榜单（</w:t>
            </w:r>
            <w:r>
              <w:rPr>
                <w:rFonts w:hint="eastAsia" w:ascii="Times New Roman" w:hAnsi="Times New Roman" w:eastAsia="宋体" w:cs="宋体"/>
                <w:kern w:val="0"/>
                <w:sz w:val="20"/>
                <w:szCs w:val="20"/>
              </w:rPr>
              <w:t>QS</w:t>
            </w:r>
            <w:r>
              <w:rPr>
                <w:rFonts w:hint="eastAsia" w:ascii="宋体" w:hAnsi="宋体" w:eastAsia="宋体" w:cs="宋体"/>
                <w:kern w:val="0"/>
                <w:sz w:val="20"/>
                <w:szCs w:val="20"/>
              </w:rPr>
              <w:t>、</w:t>
            </w:r>
            <w:r>
              <w:rPr>
                <w:rFonts w:hint="eastAsia" w:ascii="Times New Roman" w:hAnsi="Times New Roman" w:eastAsia="宋体" w:cs="宋体"/>
                <w:kern w:val="0"/>
                <w:sz w:val="20"/>
                <w:szCs w:val="20"/>
              </w:rPr>
              <w:t>THE</w:t>
            </w:r>
            <w:r>
              <w:rPr>
                <w:rFonts w:hint="eastAsia" w:ascii="宋体" w:hAnsi="宋体" w:eastAsia="宋体" w:cs="宋体"/>
                <w:kern w:val="0"/>
                <w:sz w:val="20"/>
                <w:szCs w:val="20"/>
              </w:rPr>
              <w:t>、</w:t>
            </w:r>
            <w:r>
              <w:rPr>
                <w:rFonts w:hint="eastAsia" w:ascii="Times New Roman" w:hAnsi="Times New Roman" w:eastAsia="宋体" w:cs="宋体"/>
                <w:kern w:val="0"/>
                <w:sz w:val="20"/>
                <w:szCs w:val="20"/>
              </w:rPr>
              <w:t>U</w:t>
            </w:r>
            <w:r>
              <w:rPr>
                <w:rFonts w:hint="eastAsia" w:ascii="宋体" w:hAnsi="宋体" w:eastAsia="宋体" w:cs="宋体"/>
                <w:kern w:val="0"/>
                <w:sz w:val="20"/>
                <w:szCs w:val="20"/>
              </w:rPr>
              <w:t>.</w:t>
            </w:r>
            <w:r>
              <w:rPr>
                <w:rFonts w:hint="eastAsia" w:ascii="Times New Roman" w:hAnsi="Times New Roman" w:eastAsia="宋体" w:cs="宋体"/>
                <w:kern w:val="0"/>
                <w:sz w:val="20"/>
                <w:szCs w:val="20"/>
              </w:rPr>
              <w:t>S</w:t>
            </w:r>
            <w:r>
              <w:rPr>
                <w:rFonts w:hint="eastAsia" w:ascii="宋体" w:hAnsi="宋体" w:eastAsia="宋体" w:cs="宋体"/>
                <w:kern w:val="0"/>
                <w:sz w:val="20"/>
                <w:szCs w:val="20"/>
              </w:rPr>
              <w:t>.</w:t>
            </w:r>
            <w:r>
              <w:rPr>
                <w:rFonts w:hint="eastAsia" w:ascii="Times New Roman" w:hAnsi="Times New Roman" w:eastAsia="宋体" w:cs="宋体"/>
                <w:kern w:val="0"/>
                <w:sz w:val="20"/>
                <w:szCs w:val="20"/>
              </w:rPr>
              <w:t>NEWS</w:t>
            </w:r>
            <w:r>
              <w:rPr>
                <w:rFonts w:hint="eastAsia" w:ascii="宋体" w:hAnsi="宋体" w:eastAsia="宋体" w:cs="宋体"/>
                <w:kern w:val="0"/>
                <w:sz w:val="20"/>
                <w:szCs w:val="20"/>
              </w:rPr>
              <w:t>、</w:t>
            </w:r>
            <w:r>
              <w:rPr>
                <w:rFonts w:hint="eastAsia" w:ascii="Times New Roman" w:hAnsi="Times New Roman" w:eastAsia="宋体" w:cs="宋体"/>
                <w:kern w:val="0"/>
                <w:sz w:val="20"/>
                <w:szCs w:val="20"/>
              </w:rPr>
              <w:t>ARWU</w:t>
            </w:r>
            <w:r>
              <w:rPr>
                <w:rFonts w:hint="eastAsia" w:ascii="宋体" w:hAnsi="宋体" w:eastAsia="宋体" w:cs="宋体"/>
                <w:kern w:val="0"/>
                <w:sz w:val="20"/>
                <w:szCs w:val="20"/>
              </w:rPr>
              <w:t>、</w:t>
            </w:r>
            <w:r>
              <w:rPr>
                <w:rFonts w:hint="eastAsia" w:ascii="Times New Roman" w:hAnsi="Times New Roman" w:eastAsia="宋体" w:cs="宋体"/>
                <w:kern w:val="0"/>
                <w:sz w:val="20"/>
                <w:szCs w:val="20"/>
              </w:rPr>
              <w:t>CWUR</w:t>
            </w:r>
            <w:r>
              <w:rPr>
                <w:rFonts w:hint="eastAsia" w:ascii="宋体" w:hAnsi="宋体" w:eastAsia="宋体" w:cs="宋体"/>
                <w:kern w:val="0"/>
                <w:sz w:val="20"/>
                <w:szCs w:val="20"/>
              </w:rPr>
              <w:t>）前</w:t>
            </w:r>
            <w:r>
              <w:rPr>
                <w:rFonts w:hint="eastAsia" w:ascii="Times New Roman" w:hAnsi="Times New Roman" w:eastAsia="宋体" w:cs="宋体"/>
                <w:kern w:val="0"/>
                <w:sz w:val="20"/>
                <w:szCs w:val="20"/>
              </w:rPr>
              <w:t>100</w:t>
            </w:r>
            <w:r>
              <w:rPr>
                <w:rFonts w:hint="eastAsia" w:ascii="宋体" w:hAnsi="宋体" w:eastAsia="宋体" w:cs="宋体"/>
                <w:kern w:val="0"/>
                <w:sz w:val="20"/>
                <w:szCs w:val="20"/>
              </w:rPr>
              <w:t>名国（境）外高校的全日制硕士研究生及以上学历毕业生。</w:t>
            </w:r>
          </w:p>
        </w:tc>
        <w:tc>
          <w:tcPr>
            <w:tcW w:w="553" w:type="pct"/>
            <w:vMerge w:val="continue"/>
            <w:tcBorders>
              <w:top w:val="single" w:color="auto" w:sz="4" w:space="0"/>
              <w:left w:val="single" w:color="auto" w:sz="4" w:space="0"/>
              <w:bottom w:val="single" w:color="000000" w:sz="8" w:space="0"/>
              <w:right w:val="single" w:color="auto" w:sz="4" w:space="0"/>
            </w:tcBorders>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185" w:type="pct"/>
            <w:vMerge w:val="restart"/>
            <w:tcBorders>
              <w:top w:val="nil"/>
              <w:left w:val="single" w:color="auto" w:sz="4" w:space="0"/>
              <w:bottom w:val="single" w:color="000000" w:sz="8"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276" w:type="pct"/>
            <w:vMerge w:val="restart"/>
            <w:tcBorders>
              <w:top w:val="nil"/>
              <w:left w:val="single" w:color="auto" w:sz="4" w:space="0"/>
              <w:bottom w:val="single" w:color="000000" w:sz="8"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笔试+说课</w:t>
            </w:r>
          </w:p>
        </w:tc>
        <w:tc>
          <w:tcPr>
            <w:tcW w:w="561" w:type="pct"/>
            <w:vMerge w:val="restart"/>
            <w:tcBorders>
              <w:top w:val="nil"/>
              <w:left w:val="single" w:color="auto" w:sz="4" w:space="0"/>
              <w:bottom w:val="single" w:color="000000" w:sz="8" w:space="0"/>
              <w:right w:val="single" w:color="auto" w:sz="8" w:space="0"/>
            </w:tcBorders>
            <w:shd w:val="clear" w:color="auto" w:fill="auto"/>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工资待遇不低于同类四星级高中教师水平。</w:t>
            </w:r>
          </w:p>
        </w:tc>
      </w:tr>
      <w:tr>
        <w:tblPrEx>
          <w:tblCellMar>
            <w:top w:w="0" w:type="dxa"/>
            <w:left w:w="108" w:type="dxa"/>
            <w:bottom w:w="0" w:type="dxa"/>
            <w:right w:w="108" w:type="dxa"/>
          </w:tblCellMar>
        </w:tblPrEx>
        <w:trPr>
          <w:trHeight w:val="340" w:hRule="atLeast"/>
          <w:jc w:val="center"/>
        </w:trPr>
        <w:tc>
          <w:tcPr>
            <w:tcW w:w="285" w:type="pct"/>
            <w:tcBorders>
              <w:top w:val="nil"/>
              <w:left w:val="single" w:color="auto" w:sz="8"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姜堰区</w:t>
            </w:r>
          </w:p>
        </w:tc>
        <w:tc>
          <w:tcPr>
            <w:tcW w:w="191" w:type="pct"/>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6C</w:t>
            </w:r>
          </w:p>
        </w:tc>
        <w:tc>
          <w:tcPr>
            <w:tcW w:w="316" w:type="pct"/>
            <w:vMerge w:val="continue"/>
            <w:tcBorders>
              <w:top w:val="nil"/>
              <w:left w:val="single" w:color="auto" w:sz="4" w:space="0"/>
              <w:bottom w:val="single" w:color="000000" w:sz="8" w:space="0"/>
              <w:right w:val="single" w:color="auto" w:sz="4" w:space="0"/>
            </w:tcBorders>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230" w:type="pct"/>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6C-6</w:t>
            </w:r>
          </w:p>
        </w:tc>
        <w:tc>
          <w:tcPr>
            <w:tcW w:w="369" w:type="pct"/>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0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从事高中数学教学及管理工作</w:t>
            </w:r>
          </w:p>
        </w:tc>
        <w:tc>
          <w:tcPr>
            <w:tcW w:w="185" w:type="pct"/>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w:t>
            </w:r>
          </w:p>
        </w:tc>
        <w:tc>
          <w:tcPr>
            <w:tcW w:w="323" w:type="pct"/>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本科</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及以上</w:t>
            </w:r>
          </w:p>
        </w:tc>
        <w:tc>
          <w:tcPr>
            <w:tcW w:w="672" w:type="pct"/>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数学及相关专业</w:t>
            </w:r>
          </w:p>
        </w:tc>
        <w:tc>
          <w:tcPr>
            <w:tcW w:w="849" w:type="pct"/>
            <w:vMerge w:val="continue"/>
            <w:tcBorders>
              <w:top w:val="nil"/>
              <w:left w:val="single" w:color="auto" w:sz="4" w:space="0"/>
              <w:bottom w:val="single" w:color="000000" w:sz="8" w:space="0"/>
              <w:right w:val="single" w:color="auto" w:sz="4" w:space="0"/>
            </w:tcBorders>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553" w:type="pct"/>
            <w:vMerge w:val="continue"/>
            <w:tcBorders>
              <w:top w:val="single" w:color="auto" w:sz="4" w:space="0"/>
              <w:left w:val="single" w:color="auto" w:sz="4" w:space="0"/>
              <w:bottom w:val="single" w:color="000000" w:sz="8" w:space="0"/>
              <w:right w:val="single" w:color="auto" w:sz="4" w:space="0"/>
            </w:tcBorders>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185" w:type="pct"/>
            <w:vMerge w:val="continue"/>
            <w:tcBorders>
              <w:top w:val="nil"/>
              <w:left w:val="single" w:color="auto" w:sz="4" w:space="0"/>
              <w:bottom w:val="single" w:color="000000" w:sz="8" w:space="0"/>
              <w:right w:val="single" w:color="auto" w:sz="4" w:space="0"/>
            </w:tcBorders>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276" w:type="pct"/>
            <w:vMerge w:val="continue"/>
            <w:tcBorders>
              <w:top w:val="nil"/>
              <w:left w:val="single" w:color="auto" w:sz="4" w:space="0"/>
              <w:bottom w:val="single" w:color="000000" w:sz="8" w:space="0"/>
              <w:right w:val="single" w:color="auto" w:sz="4" w:space="0"/>
            </w:tcBorders>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561" w:type="pct"/>
            <w:vMerge w:val="continue"/>
            <w:tcBorders>
              <w:top w:val="nil"/>
              <w:left w:val="single" w:color="auto" w:sz="4" w:space="0"/>
              <w:bottom w:val="single" w:color="000000" w:sz="8" w:space="0"/>
              <w:right w:val="single" w:color="auto" w:sz="8" w:space="0"/>
            </w:tcBorders>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color w:val="000000"/>
                <w:kern w:val="0"/>
                <w:sz w:val="20"/>
                <w:szCs w:val="20"/>
              </w:rPr>
            </w:pPr>
          </w:p>
        </w:tc>
      </w:tr>
      <w:tr>
        <w:tblPrEx>
          <w:tblCellMar>
            <w:top w:w="0" w:type="dxa"/>
            <w:left w:w="108" w:type="dxa"/>
            <w:bottom w:w="0" w:type="dxa"/>
            <w:right w:w="108" w:type="dxa"/>
          </w:tblCellMar>
        </w:tblPrEx>
        <w:trPr>
          <w:trHeight w:val="340" w:hRule="atLeast"/>
          <w:jc w:val="center"/>
        </w:trPr>
        <w:tc>
          <w:tcPr>
            <w:tcW w:w="285" w:type="pct"/>
            <w:tcBorders>
              <w:top w:val="nil"/>
              <w:left w:val="single" w:color="auto" w:sz="8"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姜堰区</w:t>
            </w:r>
          </w:p>
        </w:tc>
        <w:tc>
          <w:tcPr>
            <w:tcW w:w="191" w:type="pct"/>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6C</w:t>
            </w:r>
          </w:p>
        </w:tc>
        <w:tc>
          <w:tcPr>
            <w:tcW w:w="316" w:type="pct"/>
            <w:vMerge w:val="continue"/>
            <w:tcBorders>
              <w:top w:val="nil"/>
              <w:left w:val="single" w:color="auto" w:sz="4" w:space="0"/>
              <w:bottom w:val="single" w:color="000000" w:sz="8" w:space="0"/>
              <w:right w:val="single" w:color="auto" w:sz="4" w:space="0"/>
            </w:tcBorders>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230" w:type="pct"/>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6C-7</w:t>
            </w:r>
          </w:p>
        </w:tc>
        <w:tc>
          <w:tcPr>
            <w:tcW w:w="369" w:type="pct"/>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0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从事高中物理教学及管理工作</w:t>
            </w:r>
          </w:p>
        </w:tc>
        <w:tc>
          <w:tcPr>
            <w:tcW w:w="185" w:type="pct"/>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w:t>
            </w:r>
          </w:p>
        </w:tc>
        <w:tc>
          <w:tcPr>
            <w:tcW w:w="323" w:type="pct"/>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Times New Roman"/>
                <w:kern w:val="0"/>
                <w:sz w:val="20"/>
                <w:szCs w:val="20"/>
              </w:rPr>
            </w:pPr>
            <w:r>
              <w:rPr>
                <w:rFonts w:hint="eastAsia" w:ascii="宋体" w:hAnsi="宋体" w:eastAsia="宋体" w:cs="Times New Roman"/>
                <w:kern w:val="0"/>
                <w:sz w:val="20"/>
                <w:szCs w:val="20"/>
              </w:rPr>
              <w:t>本科</w:t>
            </w:r>
          </w:p>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及以上</w:t>
            </w:r>
          </w:p>
        </w:tc>
        <w:tc>
          <w:tcPr>
            <w:tcW w:w="672" w:type="pct"/>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物理及相关专业</w:t>
            </w:r>
          </w:p>
        </w:tc>
        <w:tc>
          <w:tcPr>
            <w:tcW w:w="849" w:type="pct"/>
            <w:vMerge w:val="continue"/>
            <w:tcBorders>
              <w:top w:val="nil"/>
              <w:left w:val="single" w:color="auto" w:sz="4" w:space="0"/>
              <w:bottom w:val="single" w:color="000000" w:sz="8" w:space="0"/>
              <w:right w:val="single" w:color="auto" w:sz="4" w:space="0"/>
            </w:tcBorders>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553" w:type="pct"/>
            <w:vMerge w:val="continue"/>
            <w:tcBorders>
              <w:top w:val="single" w:color="auto" w:sz="4" w:space="0"/>
              <w:left w:val="single" w:color="auto" w:sz="4" w:space="0"/>
              <w:bottom w:val="single" w:color="000000" w:sz="8" w:space="0"/>
              <w:right w:val="single" w:color="auto" w:sz="4" w:space="0"/>
            </w:tcBorders>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185" w:type="pct"/>
            <w:vMerge w:val="continue"/>
            <w:tcBorders>
              <w:top w:val="nil"/>
              <w:left w:val="single" w:color="auto" w:sz="4" w:space="0"/>
              <w:bottom w:val="single" w:color="000000" w:sz="8" w:space="0"/>
              <w:right w:val="single" w:color="auto" w:sz="4" w:space="0"/>
            </w:tcBorders>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276" w:type="pct"/>
            <w:vMerge w:val="continue"/>
            <w:tcBorders>
              <w:top w:val="nil"/>
              <w:left w:val="single" w:color="auto" w:sz="4" w:space="0"/>
              <w:bottom w:val="single" w:color="000000" w:sz="8" w:space="0"/>
              <w:right w:val="single" w:color="auto" w:sz="4" w:space="0"/>
            </w:tcBorders>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561" w:type="pct"/>
            <w:vMerge w:val="continue"/>
            <w:tcBorders>
              <w:top w:val="nil"/>
              <w:left w:val="single" w:color="auto" w:sz="4" w:space="0"/>
              <w:bottom w:val="single" w:color="000000" w:sz="8" w:space="0"/>
              <w:right w:val="single" w:color="auto" w:sz="8" w:space="0"/>
            </w:tcBorders>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color w:val="000000"/>
                <w:kern w:val="0"/>
                <w:sz w:val="20"/>
                <w:szCs w:val="20"/>
              </w:rPr>
            </w:pPr>
          </w:p>
        </w:tc>
      </w:tr>
      <w:tr>
        <w:tblPrEx>
          <w:tblCellMar>
            <w:top w:w="0" w:type="dxa"/>
            <w:left w:w="108" w:type="dxa"/>
            <w:bottom w:w="0" w:type="dxa"/>
            <w:right w:w="108" w:type="dxa"/>
          </w:tblCellMar>
        </w:tblPrEx>
        <w:trPr>
          <w:trHeight w:val="340" w:hRule="atLeast"/>
          <w:jc w:val="center"/>
        </w:trPr>
        <w:tc>
          <w:tcPr>
            <w:tcW w:w="285" w:type="pct"/>
            <w:tcBorders>
              <w:top w:val="nil"/>
              <w:left w:val="single" w:color="auto" w:sz="8"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姜堰区</w:t>
            </w:r>
          </w:p>
        </w:tc>
        <w:tc>
          <w:tcPr>
            <w:tcW w:w="191" w:type="pct"/>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6C</w:t>
            </w:r>
          </w:p>
        </w:tc>
        <w:tc>
          <w:tcPr>
            <w:tcW w:w="316" w:type="pct"/>
            <w:vMerge w:val="continue"/>
            <w:tcBorders>
              <w:top w:val="nil"/>
              <w:left w:val="single" w:color="auto" w:sz="4" w:space="0"/>
              <w:bottom w:val="single" w:color="000000" w:sz="8" w:space="0"/>
              <w:right w:val="single" w:color="auto" w:sz="4" w:space="0"/>
            </w:tcBorders>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230" w:type="pct"/>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6C-8</w:t>
            </w:r>
          </w:p>
        </w:tc>
        <w:tc>
          <w:tcPr>
            <w:tcW w:w="369" w:type="pct"/>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0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从事高中化学教学及管理工作</w:t>
            </w:r>
          </w:p>
        </w:tc>
        <w:tc>
          <w:tcPr>
            <w:tcW w:w="185" w:type="pct"/>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w:t>
            </w:r>
          </w:p>
        </w:tc>
        <w:tc>
          <w:tcPr>
            <w:tcW w:w="323" w:type="pct"/>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Times New Roman"/>
                <w:kern w:val="0"/>
                <w:sz w:val="20"/>
                <w:szCs w:val="20"/>
              </w:rPr>
            </w:pPr>
            <w:r>
              <w:rPr>
                <w:rFonts w:hint="eastAsia" w:ascii="宋体" w:hAnsi="宋体" w:eastAsia="宋体" w:cs="Times New Roman"/>
                <w:kern w:val="0"/>
                <w:sz w:val="20"/>
                <w:szCs w:val="20"/>
              </w:rPr>
              <w:t>本科</w:t>
            </w:r>
          </w:p>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及以上</w:t>
            </w:r>
          </w:p>
        </w:tc>
        <w:tc>
          <w:tcPr>
            <w:tcW w:w="672" w:type="pct"/>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化学及相关专业</w:t>
            </w:r>
          </w:p>
        </w:tc>
        <w:tc>
          <w:tcPr>
            <w:tcW w:w="849" w:type="pct"/>
            <w:vMerge w:val="continue"/>
            <w:tcBorders>
              <w:top w:val="nil"/>
              <w:left w:val="single" w:color="auto" w:sz="4" w:space="0"/>
              <w:bottom w:val="single" w:color="000000" w:sz="8" w:space="0"/>
              <w:right w:val="single" w:color="auto" w:sz="4" w:space="0"/>
            </w:tcBorders>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553" w:type="pct"/>
            <w:vMerge w:val="continue"/>
            <w:tcBorders>
              <w:top w:val="single" w:color="auto" w:sz="4" w:space="0"/>
              <w:left w:val="single" w:color="auto" w:sz="4" w:space="0"/>
              <w:bottom w:val="single" w:color="000000" w:sz="8" w:space="0"/>
              <w:right w:val="single" w:color="auto" w:sz="4" w:space="0"/>
            </w:tcBorders>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185" w:type="pct"/>
            <w:vMerge w:val="continue"/>
            <w:tcBorders>
              <w:top w:val="nil"/>
              <w:left w:val="single" w:color="auto" w:sz="4" w:space="0"/>
              <w:bottom w:val="single" w:color="000000" w:sz="8" w:space="0"/>
              <w:right w:val="single" w:color="auto" w:sz="4" w:space="0"/>
            </w:tcBorders>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276" w:type="pct"/>
            <w:vMerge w:val="continue"/>
            <w:tcBorders>
              <w:top w:val="nil"/>
              <w:left w:val="single" w:color="auto" w:sz="4" w:space="0"/>
              <w:bottom w:val="single" w:color="000000" w:sz="8" w:space="0"/>
              <w:right w:val="single" w:color="auto" w:sz="4" w:space="0"/>
            </w:tcBorders>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561" w:type="pct"/>
            <w:vMerge w:val="continue"/>
            <w:tcBorders>
              <w:top w:val="nil"/>
              <w:left w:val="single" w:color="auto" w:sz="4" w:space="0"/>
              <w:bottom w:val="single" w:color="000000" w:sz="8" w:space="0"/>
              <w:right w:val="single" w:color="auto" w:sz="8" w:space="0"/>
            </w:tcBorders>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color w:val="000000"/>
                <w:kern w:val="0"/>
                <w:sz w:val="20"/>
                <w:szCs w:val="20"/>
              </w:rPr>
            </w:pPr>
          </w:p>
        </w:tc>
      </w:tr>
      <w:tr>
        <w:tblPrEx>
          <w:tblCellMar>
            <w:top w:w="0" w:type="dxa"/>
            <w:left w:w="108" w:type="dxa"/>
            <w:bottom w:w="0" w:type="dxa"/>
            <w:right w:w="108" w:type="dxa"/>
          </w:tblCellMar>
        </w:tblPrEx>
        <w:trPr>
          <w:trHeight w:val="340" w:hRule="atLeast"/>
          <w:jc w:val="center"/>
        </w:trPr>
        <w:tc>
          <w:tcPr>
            <w:tcW w:w="285" w:type="pct"/>
            <w:tcBorders>
              <w:top w:val="nil"/>
              <w:left w:val="single" w:color="auto" w:sz="8" w:space="0"/>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姜堰区</w:t>
            </w:r>
          </w:p>
        </w:tc>
        <w:tc>
          <w:tcPr>
            <w:tcW w:w="191" w:type="pct"/>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6C</w:t>
            </w:r>
          </w:p>
        </w:tc>
        <w:tc>
          <w:tcPr>
            <w:tcW w:w="316" w:type="pct"/>
            <w:vMerge w:val="continue"/>
            <w:tcBorders>
              <w:top w:val="nil"/>
              <w:left w:val="single" w:color="auto" w:sz="4" w:space="0"/>
              <w:bottom w:val="single" w:color="000000" w:sz="8" w:space="0"/>
              <w:right w:val="single" w:color="auto" w:sz="4" w:space="0"/>
            </w:tcBorders>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230" w:type="pct"/>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6C-9</w:t>
            </w:r>
          </w:p>
        </w:tc>
        <w:tc>
          <w:tcPr>
            <w:tcW w:w="369" w:type="pct"/>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0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从事高中英语教学及管理工作</w:t>
            </w:r>
          </w:p>
        </w:tc>
        <w:tc>
          <w:tcPr>
            <w:tcW w:w="185" w:type="pct"/>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w:t>
            </w:r>
          </w:p>
        </w:tc>
        <w:tc>
          <w:tcPr>
            <w:tcW w:w="323" w:type="pct"/>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Times New Roman"/>
                <w:kern w:val="0"/>
                <w:sz w:val="20"/>
                <w:szCs w:val="20"/>
              </w:rPr>
            </w:pPr>
            <w:r>
              <w:rPr>
                <w:rFonts w:hint="eastAsia" w:ascii="宋体" w:hAnsi="宋体" w:eastAsia="宋体" w:cs="Times New Roman"/>
                <w:kern w:val="0"/>
                <w:sz w:val="20"/>
                <w:szCs w:val="20"/>
              </w:rPr>
              <w:t>本科</w:t>
            </w:r>
          </w:p>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及以上</w:t>
            </w:r>
          </w:p>
        </w:tc>
        <w:tc>
          <w:tcPr>
            <w:tcW w:w="672" w:type="pct"/>
            <w:tcBorders>
              <w:top w:val="nil"/>
              <w:left w:val="nil"/>
              <w:bottom w:val="single" w:color="auto" w:sz="4"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英语及相关专业</w:t>
            </w:r>
          </w:p>
        </w:tc>
        <w:tc>
          <w:tcPr>
            <w:tcW w:w="849" w:type="pct"/>
            <w:vMerge w:val="continue"/>
            <w:tcBorders>
              <w:top w:val="nil"/>
              <w:left w:val="single" w:color="auto" w:sz="4" w:space="0"/>
              <w:bottom w:val="single" w:color="000000" w:sz="8" w:space="0"/>
              <w:right w:val="single" w:color="auto" w:sz="4" w:space="0"/>
            </w:tcBorders>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553" w:type="pct"/>
            <w:vMerge w:val="continue"/>
            <w:tcBorders>
              <w:top w:val="single" w:color="auto" w:sz="4" w:space="0"/>
              <w:left w:val="single" w:color="auto" w:sz="4" w:space="0"/>
              <w:bottom w:val="single" w:color="000000" w:sz="8" w:space="0"/>
              <w:right w:val="single" w:color="auto" w:sz="4" w:space="0"/>
            </w:tcBorders>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185" w:type="pct"/>
            <w:vMerge w:val="continue"/>
            <w:tcBorders>
              <w:top w:val="nil"/>
              <w:left w:val="single" w:color="auto" w:sz="4" w:space="0"/>
              <w:bottom w:val="single" w:color="000000" w:sz="8" w:space="0"/>
              <w:right w:val="single" w:color="auto" w:sz="4" w:space="0"/>
            </w:tcBorders>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276" w:type="pct"/>
            <w:vMerge w:val="continue"/>
            <w:tcBorders>
              <w:top w:val="nil"/>
              <w:left w:val="single" w:color="auto" w:sz="4" w:space="0"/>
              <w:bottom w:val="single" w:color="000000" w:sz="8" w:space="0"/>
              <w:right w:val="single" w:color="auto" w:sz="4" w:space="0"/>
            </w:tcBorders>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561" w:type="pct"/>
            <w:vMerge w:val="continue"/>
            <w:tcBorders>
              <w:top w:val="nil"/>
              <w:left w:val="single" w:color="auto" w:sz="4" w:space="0"/>
              <w:bottom w:val="single" w:color="000000" w:sz="8" w:space="0"/>
              <w:right w:val="single" w:color="auto" w:sz="8" w:space="0"/>
            </w:tcBorders>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color w:val="000000"/>
                <w:kern w:val="0"/>
                <w:sz w:val="20"/>
                <w:szCs w:val="20"/>
              </w:rPr>
            </w:pPr>
          </w:p>
        </w:tc>
      </w:tr>
      <w:tr>
        <w:tblPrEx>
          <w:tblCellMar>
            <w:top w:w="0" w:type="dxa"/>
            <w:left w:w="108" w:type="dxa"/>
            <w:bottom w:w="0" w:type="dxa"/>
            <w:right w:w="108" w:type="dxa"/>
          </w:tblCellMar>
        </w:tblPrEx>
        <w:trPr>
          <w:trHeight w:val="340" w:hRule="atLeast"/>
          <w:jc w:val="center"/>
        </w:trPr>
        <w:tc>
          <w:tcPr>
            <w:tcW w:w="285" w:type="pct"/>
            <w:tcBorders>
              <w:top w:val="nil"/>
              <w:left w:val="single" w:color="auto" w:sz="8" w:space="0"/>
              <w:bottom w:val="single" w:color="auto" w:sz="8"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姜堰区</w:t>
            </w:r>
          </w:p>
        </w:tc>
        <w:tc>
          <w:tcPr>
            <w:tcW w:w="191" w:type="pct"/>
            <w:tcBorders>
              <w:top w:val="nil"/>
              <w:left w:val="nil"/>
              <w:bottom w:val="single" w:color="auto" w:sz="8"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6C</w:t>
            </w:r>
          </w:p>
        </w:tc>
        <w:tc>
          <w:tcPr>
            <w:tcW w:w="316" w:type="pct"/>
            <w:vMerge w:val="continue"/>
            <w:tcBorders>
              <w:top w:val="nil"/>
              <w:left w:val="single" w:color="auto" w:sz="4" w:space="0"/>
              <w:bottom w:val="single" w:color="000000" w:sz="8" w:space="0"/>
              <w:right w:val="single" w:color="auto" w:sz="4" w:space="0"/>
            </w:tcBorders>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230" w:type="pct"/>
            <w:tcBorders>
              <w:top w:val="nil"/>
              <w:left w:val="nil"/>
              <w:bottom w:val="single" w:color="auto" w:sz="8"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6C-10</w:t>
            </w:r>
          </w:p>
        </w:tc>
        <w:tc>
          <w:tcPr>
            <w:tcW w:w="369" w:type="pct"/>
            <w:tcBorders>
              <w:top w:val="nil"/>
              <w:left w:val="nil"/>
              <w:bottom w:val="single" w:color="auto" w:sz="8" w:space="0"/>
              <w:right w:val="single" w:color="auto" w:sz="4" w:space="0"/>
            </w:tcBorders>
            <w:shd w:val="clear" w:color="auto" w:fill="auto"/>
            <w:tcMar>
              <w:top w:w="28" w:type="dxa"/>
              <w:left w:w="57" w:type="dxa"/>
              <w:bottom w:w="28" w:type="dxa"/>
              <w:right w:w="57" w:type="dxa"/>
            </w:tcMar>
            <w:vAlign w:val="center"/>
          </w:tcPr>
          <w:p>
            <w:pPr>
              <w:widowControl/>
              <w:spacing w:line="20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从事高中历史教学及管理工作</w:t>
            </w:r>
          </w:p>
        </w:tc>
        <w:tc>
          <w:tcPr>
            <w:tcW w:w="185" w:type="pct"/>
            <w:tcBorders>
              <w:top w:val="nil"/>
              <w:left w:val="nil"/>
              <w:bottom w:val="single" w:color="auto" w:sz="8"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w:t>
            </w:r>
          </w:p>
        </w:tc>
        <w:tc>
          <w:tcPr>
            <w:tcW w:w="323" w:type="pct"/>
            <w:tcBorders>
              <w:top w:val="nil"/>
              <w:left w:val="nil"/>
              <w:bottom w:val="single" w:color="auto" w:sz="8"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hint="eastAsia" w:ascii="宋体" w:hAnsi="宋体" w:eastAsia="宋体" w:cs="Times New Roman"/>
                <w:kern w:val="0"/>
                <w:sz w:val="20"/>
                <w:szCs w:val="20"/>
              </w:rPr>
            </w:pPr>
            <w:r>
              <w:rPr>
                <w:rFonts w:hint="eastAsia" w:ascii="宋体" w:hAnsi="宋体" w:eastAsia="宋体" w:cs="Times New Roman"/>
                <w:kern w:val="0"/>
                <w:sz w:val="20"/>
                <w:szCs w:val="20"/>
              </w:rPr>
              <w:t>本科</w:t>
            </w:r>
          </w:p>
          <w:p>
            <w:pPr>
              <w:widowControl/>
              <w:spacing w:line="240" w:lineRule="exact"/>
              <w:jc w:val="center"/>
              <w:rPr>
                <w:rFonts w:ascii="Times New Roman" w:hAnsi="Times New Roman" w:eastAsia="宋体" w:cs="Times New Roman"/>
                <w:kern w:val="0"/>
                <w:sz w:val="20"/>
                <w:szCs w:val="20"/>
              </w:rPr>
            </w:pPr>
            <w:r>
              <w:rPr>
                <w:rFonts w:hint="eastAsia" w:ascii="宋体" w:hAnsi="宋体" w:eastAsia="宋体" w:cs="Times New Roman"/>
                <w:kern w:val="0"/>
                <w:sz w:val="20"/>
                <w:szCs w:val="20"/>
              </w:rPr>
              <w:t>及以上</w:t>
            </w:r>
          </w:p>
        </w:tc>
        <w:tc>
          <w:tcPr>
            <w:tcW w:w="672" w:type="pct"/>
            <w:tcBorders>
              <w:top w:val="nil"/>
              <w:left w:val="nil"/>
              <w:bottom w:val="single" w:color="auto" w:sz="8" w:space="0"/>
              <w:right w:val="single" w:color="auto" w:sz="4" w:space="0"/>
            </w:tcBorders>
            <w:shd w:val="clear" w:color="auto" w:fill="auto"/>
            <w:tcMar>
              <w:top w:w="28" w:type="dxa"/>
              <w:left w:w="57" w:type="dxa"/>
              <w:bottom w:w="28" w:type="dxa"/>
              <w:right w:w="57" w:type="dxa"/>
            </w:tcMar>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历史及相关专业</w:t>
            </w:r>
          </w:p>
        </w:tc>
        <w:tc>
          <w:tcPr>
            <w:tcW w:w="849" w:type="pct"/>
            <w:vMerge w:val="continue"/>
            <w:tcBorders>
              <w:top w:val="nil"/>
              <w:left w:val="single" w:color="auto" w:sz="4" w:space="0"/>
              <w:bottom w:val="single" w:color="000000" w:sz="8" w:space="0"/>
              <w:right w:val="single" w:color="auto" w:sz="4" w:space="0"/>
            </w:tcBorders>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553" w:type="pct"/>
            <w:vMerge w:val="continue"/>
            <w:tcBorders>
              <w:top w:val="single" w:color="auto" w:sz="4" w:space="0"/>
              <w:left w:val="single" w:color="auto" w:sz="4" w:space="0"/>
              <w:bottom w:val="single" w:color="000000" w:sz="8" w:space="0"/>
              <w:right w:val="single" w:color="auto" w:sz="4" w:space="0"/>
            </w:tcBorders>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185" w:type="pct"/>
            <w:vMerge w:val="continue"/>
            <w:tcBorders>
              <w:top w:val="nil"/>
              <w:left w:val="single" w:color="auto" w:sz="4" w:space="0"/>
              <w:bottom w:val="single" w:color="000000" w:sz="8" w:space="0"/>
              <w:right w:val="single" w:color="auto" w:sz="4" w:space="0"/>
            </w:tcBorders>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kern w:val="0"/>
                <w:sz w:val="20"/>
                <w:szCs w:val="20"/>
              </w:rPr>
            </w:pPr>
          </w:p>
        </w:tc>
        <w:tc>
          <w:tcPr>
            <w:tcW w:w="276" w:type="pct"/>
            <w:vMerge w:val="continue"/>
            <w:tcBorders>
              <w:top w:val="nil"/>
              <w:left w:val="single" w:color="auto" w:sz="4" w:space="0"/>
              <w:bottom w:val="single" w:color="000000" w:sz="8" w:space="0"/>
              <w:right w:val="single" w:color="auto" w:sz="4" w:space="0"/>
            </w:tcBorders>
            <w:tcMar>
              <w:top w:w="28" w:type="dxa"/>
              <w:left w:w="57" w:type="dxa"/>
              <w:bottom w:w="28" w:type="dxa"/>
              <w:right w:w="57" w:type="dxa"/>
            </w:tcMar>
            <w:vAlign w:val="center"/>
          </w:tcPr>
          <w:p>
            <w:pPr>
              <w:widowControl/>
              <w:spacing w:line="240" w:lineRule="exact"/>
              <w:jc w:val="left"/>
              <w:rPr>
                <w:rFonts w:ascii="宋体" w:hAnsi="宋体" w:eastAsia="宋体" w:cs="宋体"/>
                <w:kern w:val="0"/>
                <w:sz w:val="20"/>
                <w:szCs w:val="20"/>
              </w:rPr>
            </w:pPr>
          </w:p>
        </w:tc>
        <w:tc>
          <w:tcPr>
            <w:tcW w:w="561" w:type="pct"/>
            <w:vMerge w:val="continue"/>
            <w:tcBorders>
              <w:top w:val="nil"/>
              <w:left w:val="single" w:color="auto" w:sz="4" w:space="0"/>
              <w:bottom w:val="single" w:color="000000" w:sz="8" w:space="0"/>
              <w:right w:val="single" w:color="auto" w:sz="8" w:space="0"/>
            </w:tcBorders>
            <w:tcMar>
              <w:top w:w="28" w:type="dxa"/>
              <w:left w:w="57" w:type="dxa"/>
              <w:bottom w:w="28" w:type="dxa"/>
              <w:right w:w="57" w:type="dxa"/>
            </w:tcMar>
            <w:vAlign w:val="center"/>
          </w:tcPr>
          <w:p>
            <w:pPr>
              <w:widowControl/>
              <w:spacing w:line="240" w:lineRule="exact"/>
              <w:jc w:val="left"/>
              <w:rPr>
                <w:rFonts w:ascii="Times New Roman" w:hAnsi="Times New Roman" w:eastAsia="宋体" w:cs="Times New Roman"/>
                <w:color w:val="000000"/>
                <w:kern w:val="0"/>
                <w:sz w:val="20"/>
                <w:szCs w:val="20"/>
              </w:rPr>
            </w:pPr>
          </w:p>
        </w:tc>
      </w:tr>
    </w:tbl>
    <w:p>
      <w:pPr>
        <w:spacing w:line="40" w:lineRule="exact"/>
      </w:pPr>
    </w:p>
    <w:sectPr>
      <w:footerReference r:id="rId3" w:type="default"/>
      <w:pgSz w:w="16838" w:h="11906" w:orient="landscape"/>
      <w:pgMar w:top="1304" w:right="907" w:bottom="1134" w:left="907" w:header="851" w:footer="737" w:gutter="0"/>
      <w:pgBorders>
        <w:top w:val="none" w:sz="0" w:space="0"/>
        <w:left w:val="none" w:sz="0" w:space="0"/>
        <w:bottom w:val="none" w:sz="0" w:space="0"/>
        <w:right w:val="none" w:sz="0" w:space="0"/>
      </w:pgBorders>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1889126"/>
      <w:docPartObj>
        <w:docPartGallery w:val="autotext"/>
      </w:docPartObj>
    </w:sdtPr>
    <w:sdtContent>
      <w:p>
        <w:pPr>
          <w:pStyle w:val="2"/>
          <w:jc w:val="center"/>
        </w:pPr>
        <w:r>
          <w:rPr>
            <w:rFonts w:hint="eastAsia" w:ascii="仿宋_GB2312" w:hAnsi="Times New Roman" w:eastAsia="仿宋_GB2312" w:cs="Times New Roman"/>
            <w:sz w:val="21"/>
            <w:szCs w:val="21"/>
          </w:rPr>
          <w:t xml:space="preserve">— </w:t>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1</w:t>
        </w:r>
        <w:r>
          <w:rPr>
            <w:rFonts w:ascii="Times New Roman" w:hAnsi="Times New Roman" w:cs="Times New Roman"/>
            <w:sz w:val="21"/>
            <w:szCs w:val="21"/>
          </w:rPr>
          <w:fldChar w:fldCharType="end"/>
        </w:r>
        <w:r>
          <w:rPr>
            <w:rFonts w:hint="eastAsia" w:ascii="仿宋_GB2312" w:hAnsi="Times New Roman" w:eastAsia="仿宋_GB2312" w:cs="Times New Roman"/>
            <w:sz w:val="21"/>
            <w:szCs w:val="21"/>
          </w:rPr>
          <w:t xml:space="preserve"> —</w: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2DB59F"/>
    <w:multiLevelType w:val="singleLevel"/>
    <w:tmpl w:val="802DB59F"/>
    <w:lvl w:ilvl="0" w:tentative="0">
      <w:start w:val="1"/>
      <w:numFmt w:val="decimal"/>
      <w:lvlText w:val="%1."/>
      <w:lvlJc w:val="left"/>
      <w:pPr>
        <w:tabs>
          <w:tab w:val="left" w:pos="312"/>
        </w:tabs>
      </w:pPr>
    </w:lvl>
  </w:abstractNum>
  <w:abstractNum w:abstractNumId="1">
    <w:nsid w:val="393C2F2E"/>
    <w:multiLevelType w:val="singleLevel"/>
    <w:tmpl w:val="393C2F2E"/>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I1NDQxYmI5MmVkY2Q5YmEzMTM3ODhiNDkxYjNkYzgifQ=="/>
  </w:docVars>
  <w:rsids>
    <w:rsidRoot w:val="005C00C7"/>
    <w:rsid w:val="00042F19"/>
    <w:rsid w:val="00044EF2"/>
    <w:rsid w:val="000C208B"/>
    <w:rsid w:val="00170E5E"/>
    <w:rsid w:val="00207EE5"/>
    <w:rsid w:val="00263E25"/>
    <w:rsid w:val="002670A4"/>
    <w:rsid w:val="002B5D04"/>
    <w:rsid w:val="002F5D02"/>
    <w:rsid w:val="00386753"/>
    <w:rsid w:val="004C3C64"/>
    <w:rsid w:val="004D4D31"/>
    <w:rsid w:val="00504D49"/>
    <w:rsid w:val="00530138"/>
    <w:rsid w:val="0056208D"/>
    <w:rsid w:val="005C00C7"/>
    <w:rsid w:val="005F01BB"/>
    <w:rsid w:val="0064057F"/>
    <w:rsid w:val="0064621C"/>
    <w:rsid w:val="006B4F71"/>
    <w:rsid w:val="00756309"/>
    <w:rsid w:val="00770B35"/>
    <w:rsid w:val="007A3406"/>
    <w:rsid w:val="007E5E29"/>
    <w:rsid w:val="00815E0A"/>
    <w:rsid w:val="00834870"/>
    <w:rsid w:val="00855D3A"/>
    <w:rsid w:val="00857482"/>
    <w:rsid w:val="008A3FBC"/>
    <w:rsid w:val="008F6EB2"/>
    <w:rsid w:val="009049D8"/>
    <w:rsid w:val="00954F07"/>
    <w:rsid w:val="00975D66"/>
    <w:rsid w:val="009A4DC9"/>
    <w:rsid w:val="009C096C"/>
    <w:rsid w:val="009C508D"/>
    <w:rsid w:val="009D3D95"/>
    <w:rsid w:val="00A85854"/>
    <w:rsid w:val="00AC6BD8"/>
    <w:rsid w:val="00AD558A"/>
    <w:rsid w:val="00B66E2E"/>
    <w:rsid w:val="00BB3006"/>
    <w:rsid w:val="00BE052D"/>
    <w:rsid w:val="00BE44A5"/>
    <w:rsid w:val="00C35BE6"/>
    <w:rsid w:val="00C465ED"/>
    <w:rsid w:val="00CC1A08"/>
    <w:rsid w:val="00CC7F97"/>
    <w:rsid w:val="00CF491B"/>
    <w:rsid w:val="00D760CD"/>
    <w:rsid w:val="00DA3597"/>
    <w:rsid w:val="00DC5417"/>
    <w:rsid w:val="00E10468"/>
    <w:rsid w:val="00E458E4"/>
    <w:rsid w:val="00ED4008"/>
    <w:rsid w:val="00EF7950"/>
    <w:rsid w:val="00F25637"/>
    <w:rsid w:val="00F64B05"/>
    <w:rsid w:val="00F7025C"/>
    <w:rsid w:val="00FC4D8D"/>
    <w:rsid w:val="00FE4AEF"/>
    <w:rsid w:val="01115B19"/>
    <w:rsid w:val="01227D26"/>
    <w:rsid w:val="012375FA"/>
    <w:rsid w:val="014852B3"/>
    <w:rsid w:val="014C6B51"/>
    <w:rsid w:val="0159301C"/>
    <w:rsid w:val="016043AA"/>
    <w:rsid w:val="016A206F"/>
    <w:rsid w:val="01747E56"/>
    <w:rsid w:val="017936BE"/>
    <w:rsid w:val="01C012ED"/>
    <w:rsid w:val="01CE57B8"/>
    <w:rsid w:val="01E44FDB"/>
    <w:rsid w:val="01EF43BB"/>
    <w:rsid w:val="01F340A4"/>
    <w:rsid w:val="020411DA"/>
    <w:rsid w:val="020F7B7E"/>
    <w:rsid w:val="021D04ED"/>
    <w:rsid w:val="02223D56"/>
    <w:rsid w:val="02313F99"/>
    <w:rsid w:val="02385327"/>
    <w:rsid w:val="02532161"/>
    <w:rsid w:val="02775E4F"/>
    <w:rsid w:val="0281282A"/>
    <w:rsid w:val="028B5457"/>
    <w:rsid w:val="02CD5A6F"/>
    <w:rsid w:val="02CF4893"/>
    <w:rsid w:val="02DB5D1B"/>
    <w:rsid w:val="02E1151B"/>
    <w:rsid w:val="02EB239A"/>
    <w:rsid w:val="02F94AB6"/>
    <w:rsid w:val="02FF7BF3"/>
    <w:rsid w:val="036C34DA"/>
    <w:rsid w:val="0371289F"/>
    <w:rsid w:val="0374238F"/>
    <w:rsid w:val="03791753"/>
    <w:rsid w:val="03887BE8"/>
    <w:rsid w:val="03BB6210"/>
    <w:rsid w:val="0402799B"/>
    <w:rsid w:val="04071455"/>
    <w:rsid w:val="04074FB1"/>
    <w:rsid w:val="040E4592"/>
    <w:rsid w:val="041D6F99"/>
    <w:rsid w:val="0457222B"/>
    <w:rsid w:val="046B5540"/>
    <w:rsid w:val="04763EE5"/>
    <w:rsid w:val="048246C2"/>
    <w:rsid w:val="04B50EB1"/>
    <w:rsid w:val="04BA64C7"/>
    <w:rsid w:val="04EE6171"/>
    <w:rsid w:val="04F274F3"/>
    <w:rsid w:val="05263B5D"/>
    <w:rsid w:val="05614B95"/>
    <w:rsid w:val="05685F23"/>
    <w:rsid w:val="05790131"/>
    <w:rsid w:val="057B7A05"/>
    <w:rsid w:val="057C552B"/>
    <w:rsid w:val="058746C5"/>
    <w:rsid w:val="058F1702"/>
    <w:rsid w:val="059B00A7"/>
    <w:rsid w:val="05BB42A5"/>
    <w:rsid w:val="05CF5FA2"/>
    <w:rsid w:val="05F872A7"/>
    <w:rsid w:val="060754D4"/>
    <w:rsid w:val="061E4834"/>
    <w:rsid w:val="06473D8B"/>
    <w:rsid w:val="064918B1"/>
    <w:rsid w:val="06532730"/>
    <w:rsid w:val="0676641E"/>
    <w:rsid w:val="068B1EC9"/>
    <w:rsid w:val="06952D48"/>
    <w:rsid w:val="06AD62E4"/>
    <w:rsid w:val="06BC6527"/>
    <w:rsid w:val="06C61153"/>
    <w:rsid w:val="06C673A5"/>
    <w:rsid w:val="06F7130D"/>
    <w:rsid w:val="0708176C"/>
    <w:rsid w:val="0728596A"/>
    <w:rsid w:val="074E2EF7"/>
    <w:rsid w:val="076A5F83"/>
    <w:rsid w:val="077706A0"/>
    <w:rsid w:val="0797664C"/>
    <w:rsid w:val="079E5C2C"/>
    <w:rsid w:val="07D63618"/>
    <w:rsid w:val="07DC0503"/>
    <w:rsid w:val="07FE491D"/>
    <w:rsid w:val="08147C9D"/>
    <w:rsid w:val="081859DF"/>
    <w:rsid w:val="08193505"/>
    <w:rsid w:val="082F0F7A"/>
    <w:rsid w:val="08314CF2"/>
    <w:rsid w:val="085207C5"/>
    <w:rsid w:val="08536A17"/>
    <w:rsid w:val="085409E1"/>
    <w:rsid w:val="086230FE"/>
    <w:rsid w:val="087B41C0"/>
    <w:rsid w:val="08892439"/>
    <w:rsid w:val="088C1F29"/>
    <w:rsid w:val="088F37C7"/>
    <w:rsid w:val="08A47272"/>
    <w:rsid w:val="08AA0601"/>
    <w:rsid w:val="08C47915"/>
    <w:rsid w:val="08CC0577"/>
    <w:rsid w:val="08D31906"/>
    <w:rsid w:val="09016473"/>
    <w:rsid w:val="091066B6"/>
    <w:rsid w:val="09410F65"/>
    <w:rsid w:val="09487667"/>
    <w:rsid w:val="0970184A"/>
    <w:rsid w:val="09A3752A"/>
    <w:rsid w:val="09CF031F"/>
    <w:rsid w:val="0A0F2E11"/>
    <w:rsid w:val="0A2170A6"/>
    <w:rsid w:val="0A283ED3"/>
    <w:rsid w:val="0A2F5262"/>
    <w:rsid w:val="0A2F7010"/>
    <w:rsid w:val="0A3E7253"/>
    <w:rsid w:val="0A570314"/>
    <w:rsid w:val="0A9D666F"/>
    <w:rsid w:val="0AA25A34"/>
    <w:rsid w:val="0AA572D2"/>
    <w:rsid w:val="0AB539B9"/>
    <w:rsid w:val="0AC32EC6"/>
    <w:rsid w:val="0ACC485F"/>
    <w:rsid w:val="0AD61B81"/>
    <w:rsid w:val="0AFB5144"/>
    <w:rsid w:val="0B073AE9"/>
    <w:rsid w:val="0B1A1A6E"/>
    <w:rsid w:val="0B246449"/>
    <w:rsid w:val="0B3D39AE"/>
    <w:rsid w:val="0B3F14D4"/>
    <w:rsid w:val="0B4A5DF3"/>
    <w:rsid w:val="0B70168E"/>
    <w:rsid w:val="0B901D30"/>
    <w:rsid w:val="0BA7412C"/>
    <w:rsid w:val="0BAD4690"/>
    <w:rsid w:val="0BB772BD"/>
    <w:rsid w:val="0BC47C2C"/>
    <w:rsid w:val="0BCB1EE9"/>
    <w:rsid w:val="0BD55995"/>
    <w:rsid w:val="0BDC6D23"/>
    <w:rsid w:val="0C012C2E"/>
    <w:rsid w:val="0C0A1AE2"/>
    <w:rsid w:val="0C0B585A"/>
    <w:rsid w:val="0C1464BD"/>
    <w:rsid w:val="0C2A7A8F"/>
    <w:rsid w:val="0C3373B0"/>
    <w:rsid w:val="0C3D1EB8"/>
    <w:rsid w:val="0C607954"/>
    <w:rsid w:val="0C662A91"/>
    <w:rsid w:val="0C67656B"/>
    <w:rsid w:val="0C790A16"/>
    <w:rsid w:val="0C803B53"/>
    <w:rsid w:val="0C880C59"/>
    <w:rsid w:val="0CA37841"/>
    <w:rsid w:val="0CAC0DEC"/>
    <w:rsid w:val="0CC06645"/>
    <w:rsid w:val="0CC46135"/>
    <w:rsid w:val="0CC779D3"/>
    <w:rsid w:val="0CC92F9D"/>
    <w:rsid w:val="0CD8573D"/>
    <w:rsid w:val="0CF462EF"/>
    <w:rsid w:val="0D124B42"/>
    <w:rsid w:val="0D3D7C96"/>
    <w:rsid w:val="0D4234FE"/>
    <w:rsid w:val="0D466B4A"/>
    <w:rsid w:val="0D470B14"/>
    <w:rsid w:val="0D841421"/>
    <w:rsid w:val="0D887163"/>
    <w:rsid w:val="0D9378B6"/>
    <w:rsid w:val="0D98311E"/>
    <w:rsid w:val="0DAE2941"/>
    <w:rsid w:val="0DB37F58"/>
    <w:rsid w:val="0DDC74AE"/>
    <w:rsid w:val="0DF52C6F"/>
    <w:rsid w:val="0E06277D"/>
    <w:rsid w:val="0E100F06"/>
    <w:rsid w:val="0E124C7E"/>
    <w:rsid w:val="0E2449B2"/>
    <w:rsid w:val="0E2F5830"/>
    <w:rsid w:val="0E455054"/>
    <w:rsid w:val="0E5057A7"/>
    <w:rsid w:val="0E5C239D"/>
    <w:rsid w:val="0E6059EA"/>
    <w:rsid w:val="0E6179B4"/>
    <w:rsid w:val="0E686F94"/>
    <w:rsid w:val="0E9E4764"/>
    <w:rsid w:val="0EBE4E06"/>
    <w:rsid w:val="0ECA53D4"/>
    <w:rsid w:val="0ECA5559"/>
    <w:rsid w:val="0ED4462A"/>
    <w:rsid w:val="0F2B0274"/>
    <w:rsid w:val="0F3D3F7D"/>
    <w:rsid w:val="0F5D461F"/>
    <w:rsid w:val="0F6C6610"/>
    <w:rsid w:val="0F804919"/>
    <w:rsid w:val="0F8971C2"/>
    <w:rsid w:val="0F9B0CA3"/>
    <w:rsid w:val="0FA45DAA"/>
    <w:rsid w:val="0FBD0C1A"/>
    <w:rsid w:val="0FC30926"/>
    <w:rsid w:val="0FD04DF1"/>
    <w:rsid w:val="0FE12B5A"/>
    <w:rsid w:val="0FE4264A"/>
    <w:rsid w:val="101A42BE"/>
    <w:rsid w:val="1021564D"/>
    <w:rsid w:val="103709CC"/>
    <w:rsid w:val="103A56ED"/>
    <w:rsid w:val="1065378B"/>
    <w:rsid w:val="1090632E"/>
    <w:rsid w:val="109408CD"/>
    <w:rsid w:val="10A02A15"/>
    <w:rsid w:val="10B4026F"/>
    <w:rsid w:val="10B4201D"/>
    <w:rsid w:val="10C14D88"/>
    <w:rsid w:val="10C761F4"/>
    <w:rsid w:val="10D97CD5"/>
    <w:rsid w:val="10DB1C9F"/>
    <w:rsid w:val="10F44B0F"/>
    <w:rsid w:val="10FD39C4"/>
    <w:rsid w:val="110034B4"/>
    <w:rsid w:val="110E4329"/>
    <w:rsid w:val="110F7B9B"/>
    <w:rsid w:val="111807FE"/>
    <w:rsid w:val="11270A41"/>
    <w:rsid w:val="11407D54"/>
    <w:rsid w:val="114E06C3"/>
    <w:rsid w:val="11665A0D"/>
    <w:rsid w:val="116752E1"/>
    <w:rsid w:val="116E041E"/>
    <w:rsid w:val="116F23E8"/>
    <w:rsid w:val="117A20C2"/>
    <w:rsid w:val="11963E18"/>
    <w:rsid w:val="11AC0F46"/>
    <w:rsid w:val="11B83D8F"/>
    <w:rsid w:val="11C269BB"/>
    <w:rsid w:val="11E3705D"/>
    <w:rsid w:val="11E42DD6"/>
    <w:rsid w:val="11F8062F"/>
    <w:rsid w:val="123F1DBA"/>
    <w:rsid w:val="125E66E4"/>
    <w:rsid w:val="12654562"/>
    <w:rsid w:val="126F6B43"/>
    <w:rsid w:val="127F665A"/>
    <w:rsid w:val="12891287"/>
    <w:rsid w:val="128D0D77"/>
    <w:rsid w:val="129245E0"/>
    <w:rsid w:val="129F0AAB"/>
    <w:rsid w:val="12A3059B"/>
    <w:rsid w:val="12A72B1B"/>
    <w:rsid w:val="12C34799"/>
    <w:rsid w:val="12CA5B28"/>
    <w:rsid w:val="12D70244"/>
    <w:rsid w:val="12FC5EFD"/>
    <w:rsid w:val="132D4308"/>
    <w:rsid w:val="133B07D3"/>
    <w:rsid w:val="13517FF7"/>
    <w:rsid w:val="1356560D"/>
    <w:rsid w:val="135F0966"/>
    <w:rsid w:val="13631AD8"/>
    <w:rsid w:val="13643080"/>
    <w:rsid w:val="13786942"/>
    <w:rsid w:val="137C18E1"/>
    <w:rsid w:val="13946135"/>
    <w:rsid w:val="139D323C"/>
    <w:rsid w:val="13BB1914"/>
    <w:rsid w:val="13D76B63"/>
    <w:rsid w:val="13DF1AA7"/>
    <w:rsid w:val="13E0137B"/>
    <w:rsid w:val="13E470BD"/>
    <w:rsid w:val="13FD3CDB"/>
    <w:rsid w:val="14072DAB"/>
    <w:rsid w:val="141B23B3"/>
    <w:rsid w:val="141D437D"/>
    <w:rsid w:val="14636234"/>
    <w:rsid w:val="14643D5A"/>
    <w:rsid w:val="14797222"/>
    <w:rsid w:val="14812B5E"/>
    <w:rsid w:val="14A32AD4"/>
    <w:rsid w:val="14BA1BCC"/>
    <w:rsid w:val="14BB6070"/>
    <w:rsid w:val="14C36CD2"/>
    <w:rsid w:val="14EF7AC7"/>
    <w:rsid w:val="15033573"/>
    <w:rsid w:val="15064E11"/>
    <w:rsid w:val="150F1F18"/>
    <w:rsid w:val="151C63E2"/>
    <w:rsid w:val="15211C4B"/>
    <w:rsid w:val="15227E9D"/>
    <w:rsid w:val="1534372C"/>
    <w:rsid w:val="1548367B"/>
    <w:rsid w:val="155913E5"/>
    <w:rsid w:val="15602773"/>
    <w:rsid w:val="158C3568"/>
    <w:rsid w:val="15997A33"/>
    <w:rsid w:val="15A07014"/>
    <w:rsid w:val="15A5287C"/>
    <w:rsid w:val="15A9236C"/>
    <w:rsid w:val="15C54CCC"/>
    <w:rsid w:val="15CE3B81"/>
    <w:rsid w:val="15CF16A7"/>
    <w:rsid w:val="15E213DA"/>
    <w:rsid w:val="16105F47"/>
    <w:rsid w:val="161A0B74"/>
    <w:rsid w:val="161A6DC6"/>
    <w:rsid w:val="16315EBE"/>
    <w:rsid w:val="16322361"/>
    <w:rsid w:val="1647748F"/>
    <w:rsid w:val="165D6CB3"/>
    <w:rsid w:val="168129A1"/>
    <w:rsid w:val="16817409"/>
    <w:rsid w:val="168A5F46"/>
    <w:rsid w:val="169D3553"/>
    <w:rsid w:val="169E79F7"/>
    <w:rsid w:val="16D276A1"/>
    <w:rsid w:val="16D41526"/>
    <w:rsid w:val="16E573D4"/>
    <w:rsid w:val="16F46A71"/>
    <w:rsid w:val="1703785A"/>
    <w:rsid w:val="170D2487"/>
    <w:rsid w:val="171C6B6E"/>
    <w:rsid w:val="171E28E6"/>
    <w:rsid w:val="17253C74"/>
    <w:rsid w:val="172A4DE7"/>
    <w:rsid w:val="17326391"/>
    <w:rsid w:val="17465999"/>
    <w:rsid w:val="17481711"/>
    <w:rsid w:val="17577BA6"/>
    <w:rsid w:val="17944956"/>
    <w:rsid w:val="17966920"/>
    <w:rsid w:val="17A27073"/>
    <w:rsid w:val="17A50911"/>
    <w:rsid w:val="17BD5C5B"/>
    <w:rsid w:val="17D9680D"/>
    <w:rsid w:val="17E4768B"/>
    <w:rsid w:val="180715CC"/>
    <w:rsid w:val="180C0990"/>
    <w:rsid w:val="181635BD"/>
    <w:rsid w:val="18493992"/>
    <w:rsid w:val="18754787"/>
    <w:rsid w:val="187C5B16"/>
    <w:rsid w:val="189A5F9C"/>
    <w:rsid w:val="189B1DE2"/>
    <w:rsid w:val="189E5147"/>
    <w:rsid w:val="18A230A3"/>
    <w:rsid w:val="18A706B9"/>
    <w:rsid w:val="18CB25F9"/>
    <w:rsid w:val="18D07C10"/>
    <w:rsid w:val="18E67433"/>
    <w:rsid w:val="18EF453A"/>
    <w:rsid w:val="18F356AC"/>
    <w:rsid w:val="18F7519C"/>
    <w:rsid w:val="18FE652B"/>
    <w:rsid w:val="19070F6A"/>
    <w:rsid w:val="190D2C12"/>
    <w:rsid w:val="192D0BBE"/>
    <w:rsid w:val="194859F8"/>
    <w:rsid w:val="19540841"/>
    <w:rsid w:val="196A3BC0"/>
    <w:rsid w:val="196C5B8A"/>
    <w:rsid w:val="19726F19"/>
    <w:rsid w:val="198D5B01"/>
    <w:rsid w:val="1990114D"/>
    <w:rsid w:val="19B7492C"/>
    <w:rsid w:val="19F45B80"/>
    <w:rsid w:val="1A004525"/>
    <w:rsid w:val="1A1E49AB"/>
    <w:rsid w:val="1A277D03"/>
    <w:rsid w:val="1A295829"/>
    <w:rsid w:val="1A4A57A0"/>
    <w:rsid w:val="1A597E48"/>
    <w:rsid w:val="1A840CB2"/>
    <w:rsid w:val="1A8962C8"/>
    <w:rsid w:val="1A9C249F"/>
    <w:rsid w:val="1AE856E5"/>
    <w:rsid w:val="1AF220BF"/>
    <w:rsid w:val="1AF37BE5"/>
    <w:rsid w:val="1AFE6CB6"/>
    <w:rsid w:val="1AFF3887"/>
    <w:rsid w:val="1B132036"/>
    <w:rsid w:val="1B261D69"/>
    <w:rsid w:val="1B293607"/>
    <w:rsid w:val="1B300E3A"/>
    <w:rsid w:val="1B55264E"/>
    <w:rsid w:val="1B574618"/>
    <w:rsid w:val="1B75731B"/>
    <w:rsid w:val="1B79458F"/>
    <w:rsid w:val="1B8151F1"/>
    <w:rsid w:val="1B8258B9"/>
    <w:rsid w:val="1B866CAC"/>
    <w:rsid w:val="1BB73659"/>
    <w:rsid w:val="1BDC68CC"/>
    <w:rsid w:val="1BE83DD7"/>
    <w:rsid w:val="1BED0AD9"/>
    <w:rsid w:val="1BEE6D2B"/>
    <w:rsid w:val="1BF81A4A"/>
    <w:rsid w:val="1C161DDD"/>
    <w:rsid w:val="1C295FB5"/>
    <w:rsid w:val="1C4E5A1B"/>
    <w:rsid w:val="1C5B3C94"/>
    <w:rsid w:val="1C623275"/>
    <w:rsid w:val="1C6A2129"/>
    <w:rsid w:val="1C6F14EE"/>
    <w:rsid w:val="1C7A05BE"/>
    <w:rsid w:val="1C850D11"/>
    <w:rsid w:val="1C9E33AA"/>
    <w:rsid w:val="1CB02232"/>
    <w:rsid w:val="1CE26164"/>
    <w:rsid w:val="1D077978"/>
    <w:rsid w:val="1D1502E7"/>
    <w:rsid w:val="1D1F1166"/>
    <w:rsid w:val="1D3958CF"/>
    <w:rsid w:val="1D3C3A18"/>
    <w:rsid w:val="1D3F5364"/>
    <w:rsid w:val="1D554B87"/>
    <w:rsid w:val="1D6152DA"/>
    <w:rsid w:val="1D807E56"/>
    <w:rsid w:val="1D990F18"/>
    <w:rsid w:val="1D9E02DC"/>
    <w:rsid w:val="1D9E652E"/>
    <w:rsid w:val="1DB45D52"/>
    <w:rsid w:val="1DB7314C"/>
    <w:rsid w:val="1DBC69B5"/>
    <w:rsid w:val="1DDA6E3B"/>
    <w:rsid w:val="1DE32193"/>
    <w:rsid w:val="1E081BFA"/>
    <w:rsid w:val="1E195BB5"/>
    <w:rsid w:val="1E37428D"/>
    <w:rsid w:val="1E4744D0"/>
    <w:rsid w:val="1E6A4663"/>
    <w:rsid w:val="1E7B6870"/>
    <w:rsid w:val="1E7E3D05"/>
    <w:rsid w:val="1E8C282B"/>
    <w:rsid w:val="1E8C45D9"/>
    <w:rsid w:val="1E9811D0"/>
    <w:rsid w:val="1E9E0462"/>
    <w:rsid w:val="1EA01E32"/>
    <w:rsid w:val="1EA41923"/>
    <w:rsid w:val="1EAC4C7B"/>
    <w:rsid w:val="1EBA7398"/>
    <w:rsid w:val="1EC65D3D"/>
    <w:rsid w:val="1EC923CE"/>
    <w:rsid w:val="1ECA6EAF"/>
    <w:rsid w:val="1ED1023E"/>
    <w:rsid w:val="1ED33FB6"/>
    <w:rsid w:val="1ED65854"/>
    <w:rsid w:val="1EE75CB3"/>
    <w:rsid w:val="1EFB52BB"/>
    <w:rsid w:val="1F0625DD"/>
    <w:rsid w:val="1F136AA8"/>
    <w:rsid w:val="1F356A1F"/>
    <w:rsid w:val="1F3F789D"/>
    <w:rsid w:val="1F51312D"/>
    <w:rsid w:val="1F69491A"/>
    <w:rsid w:val="1F901EA7"/>
    <w:rsid w:val="1FAF2B7A"/>
    <w:rsid w:val="1FF00B97"/>
    <w:rsid w:val="20041933"/>
    <w:rsid w:val="201B4CE7"/>
    <w:rsid w:val="20256A93"/>
    <w:rsid w:val="203B62B7"/>
    <w:rsid w:val="20670E5A"/>
    <w:rsid w:val="206770AC"/>
    <w:rsid w:val="208A2D9A"/>
    <w:rsid w:val="2091237A"/>
    <w:rsid w:val="20A91472"/>
    <w:rsid w:val="20B36322"/>
    <w:rsid w:val="20CF0D61"/>
    <w:rsid w:val="20DD736E"/>
    <w:rsid w:val="20EE50D7"/>
    <w:rsid w:val="20F070A1"/>
    <w:rsid w:val="21020B82"/>
    <w:rsid w:val="211014F1"/>
    <w:rsid w:val="2110329F"/>
    <w:rsid w:val="211F1734"/>
    <w:rsid w:val="213F1DD6"/>
    <w:rsid w:val="214C6728"/>
    <w:rsid w:val="21537630"/>
    <w:rsid w:val="215533A8"/>
    <w:rsid w:val="2173382E"/>
    <w:rsid w:val="21751354"/>
    <w:rsid w:val="21771570"/>
    <w:rsid w:val="21780E44"/>
    <w:rsid w:val="218D48F0"/>
    <w:rsid w:val="219537A4"/>
    <w:rsid w:val="219C0FD7"/>
    <w:rsid w:val="21A61EBE"/>
    <w:rsid w:val="21A97250"/>
    <w:rsid w:val="21BE0F4D"/>
    <w:rsid w:val="21C524D4"/>
    <w:rsid w:val="21E93AF0"/>
    <w:rsid w:val="21FA5CFD"/>
    <w:rsid w:val="2228286B"/>
    <w:rsid w:val="222D7E81"/>
    <w:rsid w:val="2230171F"/>
    <w:rsid w:val="22342FBD"/>
    <w:rsid w:val="22484CBB"/>
    <w:rsid w:val="224D1C57"/>
    <w:rsid w:val="225278E7"/>
    <w:rsid w:val="226A69DF"/>
    <w:rsid w:val="226E050F"/>
    <w:rsid w:val="22877591"/>
    <w:rsid w:val="228C2DF9"/>
    <w:rsid w:val="228D0C3F"/>
    <w:rsid w:val="2292790A"/>
    <w:rsid w:val="22995516"/>
    <w:rsid w:val="22996B73"/>
    <w:rsid w:val="229E2B2D"/>
    <w:rsid w:val="22B91715"/>
    <w:rsid w:val="22E449E3"/>
    <w:rsid w:val="22EE13BE"/>
    <w:rsid w:val="22F8223D"/>
    <w:rsid w:val="233A0AA7"/>
    <w:rsid w:val="233D2346"/>
    <w:rsid w:val="235C0A1E"/>
    <w:rsid w:val="235D69C1"/>
    <w:rsid w:val="23843AD1"/>
    <w:rsid w:val="23A75A11"/>
    <w:rsid w:val="23AD74CB"/>
    <w:rsid w:val="23B87C1E"/>
    <w:rsid w:val="23C12F77"/>
    <w:rsid w:val="23D74548"/>
    <w:rsid w:val="23D83E1C"/>
    <w:rsid w:val="23DE7685"/>
    <w:rsid w:val="23E847F6"/>
    <w:rsid w:val="24125580"/>
    <w:rsid w:val="24217571"/>
    <w:rsid w:val="24425F7C"/>
    <w:rsid w:val="244D0366"/>
    <w:rsid w:val="24653902"/>
    <w:rsid w:val="24681644"/>
    <w:rsid w:val="247C6E9E"/>
    <w:rsid w:val="24883A94"/>
    <w:rsid w:val="24993465"/>
    <w:rsid w:val="24B0535B"/>
    <w:rsid w:val="24B403E6"/>
    <w:rsid w:val="24BC54EC"/>
    <w:rsid w:val="24CC3981"/>
    <w:rsid w:val="24E30CCB"/>
    <w:rsid w:val="24F92E3A"/>
    <w:rsid w:val="2524556B"/>
    <w:rsid w:val="252E63EA"/>
    <w:rsid w:val="253F23A5"/>
    <w:rsid w:val="254C2D14"/>
    <w:rsid w:val="254E4396"/>
    <w:rsid w:val="257353F9"/>
    <w:rsid w:val="25787665"/>
    <w:rsid w:val="257D4C7B"/>
    <w:rsid w:val="25861D82"/>
    <w:rsid w:val="2593449F"/>
    <w:rsid w:val="25BD776E"/>
    <w:rsid w:val="25D725DE"/>
    <w:rsid w:val="25EB42DB"/>
    <w:rsid w:val="26025181"/>
    <w:rsid w:val="260B672B"/>
    <w:rsid w:val="26123616"/>
    <w:rsid w:val="261E020C"/>
    <w:rsid w:val="264D28A0"/>
    <w:rsid w:val="269229A8"/>
    <w:rsid w:val="269B7AAF"/>
    <w:rsid w:val="26EA6341"/>
    <w:rsid w:val="26FC6074"/>
    <w:rsid w:val="27402404"/>
    <w:rsid w:val="27606603"/>
    <w:rsid w:val="276E6F72"/>
    <w:rsid w:val="2778394C"/>
    <w:rsid w:val="27871ADC"/>
    <w:rsid w:val="279B763B"/>
    <w:rsid w:val="27C052F3"/>
    <w:rsid w:val="27C6290A"/>
    <w:rsid w:val="27C72271"/>
    <w:rsid w:val="27DA4607"/>
    <w:rsid w:val="27DD40F7"/>
    <w:rsid w:val="27E64D5A"/>
    <w:rsid w:val="27F31225"/>
    <w:rsid w:val="27F531EF"/>
    <w:rsid w:val="27FC457D"/>
    <w:rsid w:val="27FD02F5"/>
    <w:rsid w:val="28101DD7"/>
    <w:rsid w:val="281F201A"/>
    <w:rsid w:val="28390070"/>
    <w:rsid w:val="283A32F8"/>
    <w:rsid w:val="28416434"/>
    <w:rsid w:val="284D4DD9"/>
    <w:rsid w:val="28697739"/>
    <w:rsid w:val="286B1703"/>
    <w:rsid w:val="28836A4D"/>
    <w:rsid w:val="2899001E"/>
    <w:rsid w:val="28A864B3"/>
    <w:rsid w:val="28C66939"/>
    <w:rsid w:val="28C80903"/>
    <w:rsid w:val="28D472A8"/>
    <w:rsid w:val="28D64DCE"/>
    <w:rsid w:val="28DE3C83"/>
    <w:rsid w:val="28E53263"/>
    <w:rsid w:val="28ED036A"/>
    <w:rsid w:val="291B4ED7"/>
    <w:rsid w:val="293E2974"/>
    <w:rsid w:val="297E1108"/>
    <w:rsid w:val="2987256D"/>
    <w:rsid w:val="29B6075C"/>
    <w:rsid w:val="29D62BAC"/>
    <w:rsid w:val="29E7300B"/>
    <w:rsid w:val="29E74DB9"/>
    <w:rsid w:val="29E96D83"/>
    <w:rsid w:val="29F23E8A"/>
    <w:rsid w:val="2A0B4F4C"/>
    <w:rsid w:val="2A16744D"/>
    <w:rsid w:val="2A2878AC"/>
    <w:rsid w:val="2A307B20"/>
    <w:rsid w:val="2A6C52BE"/>
    <w:rsid w:val="2A832D34"/>
    <w:rsid w:val="2A8D46CE"/>
    <w:rsid w:val="2A8E16D9"/>
    <w:rsid w:val="2ABC4498"/>
    <w:rsid w:val="2ACA0963"/>
    <w:rsid w:val="2B110340"/>
    <w:rsid w:val="2B211F52"/>
    <w:rsid w:val="2B22254D"/>
    <w:rsid w:val="2B2A31B0"/>
    <w:rsid w:val="2B342280"/>
    <w:rsid w:val="2B3B53BD"/>
    <w:rsid w:val="2B520958"/>
    <w:rsid w:val="2B5621F6"/>
    <w:rsid w:val="2B593A95"/>
    <w:rsid w:val="2B674404"/>
    <w:rsid w:val="2B7E34FB"/>
    <w:rsid w:val="2BB05DAB"/>
    <w:rsid w:val="2BB16143"/>
    <w:rsid w:val="2BCA6741"/>
    <w:rsid w:val="2BD4136D"/>
    <w:rsid w:val="2BD55811"/>
    <w:rsid w:val="2BF8505C"/>
    <w:rsid w:val="2C002162"/>
    <w:rsid w:val="2C025EDA"/>
    <w:rsid w:val="2C1125C1"/>
    <w:rsid w:val="2C367FAA"/>
    <w:rsid w:val="2C387B4E"/>
    <w:rsid w:val="2C3C763E"/>
    <w:rsid w:val="2C466EB6"/>
    <w:rsid w:val="2C583D4C"/>
    <w:rsid w:val="2C6E17C2"/>
    <w:rsid w:val="2C772424"/>
    <w:rsid w:val="2C842D93"/>
    <w:rsid w:val="2C9C00DD"/>
    <w:rsid w:val="2C9F197B"/>
    <w:rsid w:val="2CA376BD"/>
    <w:rsid w:val="2CA451E4"/>
    <w:rsid w:val="2CC66F08"/>
    <w:rsid w:val="2CDE6947"/>
    <w:rsid w:val="2CF25F4F"/>
    <w:rsid w:val="2D0143E4"/>
    <w:rsid w:val="2D085772"/>
    <w:rsid w:val="2D202ABC"/>
    <w:rsid w:val="2D4927FA"/>
    <w:rsid w:val="2D5664DE"/>
    <w:rsid w:val="2D6230D5"/>
    <w:rsid w:val="2D744BB6"/>
    <w:rsid w:val="2D7E5A35"/>
    <w:rsid w:val="2D7E77E3"/>
    <w:rsid w:val="2D83304B"/>
    <w:rsid w:val="2D922480"/>
    <w:rsid w:val="2D9D235F"/>
    <w:rsid w:val="2DB33930"/>
    <w:rsid w:val="2DC45B3D"/>
    <w:rsid w:val="2DD12008"/>
    <w:rsid w:val="2DD6761F"/>
    <w:rsid w:val="2DF83A39"/>
    <w:rsid w:val="2E156399"/>
    <w:rsid w:val="2E24038A"/>
    <w:rsid w:val="2E304F81"/>
    <w:rsid w:val="2E33681F"/>
    <w:rsid w:val="2E41718E"/>
    <w:rsid w:val="2E7D3F3E"/>
    <w:rsid w:val="2E876B6B"/>
    <w:rsid w:val="2E8C4181"/>
    <w:rsid w:val="2E953036"/>
    <w:rsid w:val="2EBE07DF"/>
    <w:rsid w:val="2EC4391B"/>
    <w:rsid w:val="2ECE6548"/>
    <w:rsid w:val="2ED26038"/>
    <w:rsid w:val="2EEB0EA8"/>
    <w:rsid w:val="2EEE2746"/>
    <w:rsid w:val="2EF91817"/>
    <w:rsid w:val="2F05640D"/>
    <w:rsid w:val="2F11770F"/>
    <w:rsid w:val="2F1A353B"/>
    <w:rsid w:val="2F1B63BD"/>
    <w:rsid w:val="2F2D7712"/>
    <w:rsid w:val="2F3F11F4"/>
    <w:rsid w:val="2F6F1AD9"/>
    <w:rsid w:val="2F792957"/>
    <w:rsid w:val="2F967065"/>
    <w:rsid w:val="2F9B467C"/>
    <w:rsid w:val="2F9E416C"/>
    <w:rsid w:val="2FB35E69"/>
    <w:rsid w:val="2FB614B6"/>
    <w:rsid w:val="2FEE50F3"/>
    <w:rsid w:val="300A35B0"/>
    <w:rsid w:val="30142680"/>
    <w:rsid w:val="3014442E"/>
    <w:rsid w:val="301937F3"/>
    <w:rsid w:val="302E3742"/>
    <w:rsid w:val="30332B06"/>
    <w:rsid w:val="30676C54"/>
    <w:rsid w:val="307B44AD"/>
    <w:rsid w:val="30A43A04"/>
    <w:rsid w:val="30B5176D"/>
    <w:rsid w:val="30B8300C"/>
    <w:rsid w:val="30BB2AFC"/>
    <w:rsid w:val="30C145B6"/>
    <w:rsid w:val="30C23E8A"/>
    <w:rsid w:val="30D36097"/>
    <w:rsid w:val="30E107B4"/>
    <w:rsid w:val="30E958BB"/>
    <w:rsid w:val="30EE2ED1"/>
    <w:rsid w:val="31175F84"/>
    <w:rsid w:val="312B7C81"/>
    <w:rsid w:val="31374878"/>
    <w:rsid w:val="315216B2"/>
    <w:rsid w:val="31644F41"/>
    <w:rsid w:val="31864EB8"/>
    <w:rsid w:val="3196159F"/>
    <w:rsid w:val="319E6182"/>
    <w:rsid w:val="31A041CB"/>
    <w:rsid w:val="31F42769"/>
    <w:rsid w:val="31FE47F4"/>
    <w:rsid w:val="324E3C27"/>
    <w:rsid w:val="32543208"/>
    <w:rsid w:val="326571C3"/>
    <w:rsid w:val="32712BD2"/>
    <w:rsid w:val="32717916"/>
    <w:rsid w:val="327F2033"/>
    <w:rsid w:val="329B4993"/>
    <w:rsid w:val="32A41A99"/>
    <w:rsid w:val="32BD2B5B"/>
    <w:rsid w:val="32CA473F"/>
    <w:rsid w:val="32CC0FF0"/>
    <w:rsid w:val="32D16607"/>
    <w:rsid w:val="32F347CF"/>
    <w:rsid w:val="32FF3174"/>
    <w:rsid w:val="33072028"/>
    <w:rsid w:val="331A7FAD"/>
    <w:rsid w:val="33226E62"/>
    <w:rsid w:val="33242BDA"/>
    <w:rsid w:val="3333106F"/>
    <w:rsid w:val="33380434"/>
    <w:rsid w:val="333A0650"/>
    <w:rsid w:val="333D5A4A"/>
    <w:rsid w:val="33434DE1"/>
    <w:rsid w:val="334E7C57"/>
    <w:rsid w:val="33784CD4"/>
    <w:rsid w:val="33857B1D"/>
    <w:rsid w:val="3390201E"/>
    <w:rsid w:val="33A65CE5"/>
    <w:rsid w:val="33A855B9"/>
    <w:rsid w:val="33E04D53"/>
    <w:rsid w:val="33F16F60"/>
    <w:rsid w:val="340F5638"/>
    <w:rsid w:val="341669C7"/>
    <w:rsid w:val="342A3320"/>
    <w:rsid w:val="3430563F"/>
    <w:rsid w:val="344277BC"/>
    <w:rsid w:val="344A6670"/>
    <w:rsid w:val="344F3C87"/>
    <w:rsid w:val="345D2848"/>
    <w:rsid w:val="34645984"/>
    <w:rsid w:val="3491429F"/>
    <w:rsid w:val="349E076A"/>
    <w:rsid w:val="34A915E9"/>
    <w:rsid w:val="34AE4E51"/>
    <w:rsid w:val="34B87A7E"/>
    <w:rsid w:val="34C46423"/>
    <w:rsid w:val="34CE54F3"/>
    <w:rsid w:val="352275ED"/>
    <w:rsid w:val="353A4937"/>
    <w:rsid w:val="3566572C"/>
    <w:rsid w:val="356E45E1"/>
    <w:rsid w:val="3575771D"/>
    <w:rsid w:val="3579545F"/>
    <w:rsid w:val="357A4D33"/>
    <w:rsid w:val="357C0AAC"/>
    <w:rsid w:val="358856A2"/>
    <w:rsid w:val="35957DBF"/>
    <w:rsid w:val="35B244CD"/>
    <w:rsid w:val="35BA7826"/>
    <w:rsid w:val="35DE1766"/>
    <w:rsid w:val="35FD7CCE"/>
    <w:rsid w:val="360D204B"/>
    <w:rsid w:val="363475D8"/>
    <w:rsid w:val="365D08DD"/>
    <w:rsid w:val="36853990"/>
    <w:rsid w:val="36A93B22"/>
    <w:rsid w:val="36B83D65"/>
    <w:rsid w:val="36C505C0"/>
    <w:rsid w:val="36CE17DB"/>
    <w:rsid w:val="36D466C5"/>
    <w:rsid w:val="36E31F57"/>
    <w:rsid w:val="36EB7528"/>
    <w:rsid w:val="36F30C44"/>
    <w:rsid w:val="36FD3E6E"/>
    <w:rsid w:val="37024FE0"/>
    <w:rsid w:val="370451FC"/>
    <w:rsid w:val="37321D6A"/>
    <w:rsid w:val="373553B6"/>
    <w:rsid w:val="374F72A9"/>
    <w:rsid w:val="376156CD"/>
    <w:rsid w:val="376712E7"/>
    <w:rsid w:val="377203B8"/>
    <w:rsid w:val="37797999"/>
    <w:rsid w:val="377D6D5D"/>
    <w:rsid w:val="378400EB"/>
    <w:rsid w:val="37895702"/>
    <w:rsid w:val="37936580"/>
    <w:rsid w:val="379C5435"/>
    <w:rsid w:val="37A20571"/>
    <w:rsid w:val="37A367C3"/>
    <w:rsid w:val="37D44BCF"/>
    <w:rsid w:val="37F05781"/>
    <w:rsid w:val="38265C2B"/>
    <w:rsid w:val="38392C84"/>
    <w:rsid w:val="384F06F9"/>
    <w:rsid w:val="3870241E"/>
    <w:rsid w:val="38910D12"/>
    <w:rsid w:val="389E6F8B"/>
    <w:rsid w:val="38A327F3"/>
    <w:rsid w:val="38AC6E61"/>
    <w:rsid w:val="38D46E50"/>
    <w:rsid w:val="38EA0422"/>
    <w:rsid w:val="38EC419A"/>
    <w:rsid w:val="38F82B3F"/>
    <w:rsid w:val="390239BE"/>
    <w:rsid w:val="39074B30"/>
    <w:rsid w:val="39243934"/>
    <w:rsid w:val="39317DFF"/>
    <w:rsid w:val="395A7356"/>
    <w:rsid w:val="39665CFB"/>
    <w:rsid w:val="3968533E"/>
    <w:rsid w:val="396A50BF"/>
    <w:rsid w:val="396C7089"/>
    <w:rsid w:val="3986014B"/>
    <w:rsid w:val="398C29B4"/>
    <w:rsid w:val="399F2FBB"/>
    <w:rsid w:val="39A700C1"/>
    <w:rsid w:val="39AD58C4"/>
    <w:rsid w:val="39C26CA9"/>
    <w:rsid w:val="39DE7F87"/>
    <w:rsid w:val="39E430C3"/>
    <w:rsid w:val="39ED1F78"/>
    <w:rsid w:val="39EE7A9E"/>
    <w:rsid w:val="39FF1CAB"/>
    <w:rsid w:val="3A2241FA"/>
    <w:rsid w:val="3A483652"/>
    <w:rsid w:val="3A543DA5"/>
    <w:rsid w:val="3A6758DC"/>
    <w:rsid w:val="3A6D130B"/>
    <w:rsid w:val="3A6D30B9"/>
    <w:rsid w:val="3A7E7074"/>
    <w:rsid w:val="3A804B9A"/>
    <w:rsid w:val="3A995C5C"/>
    <w:rsid w:val="3AAD1707"/>
    <w:rsid w:val="3AB17449"/>
    <w:rsid w:val="3ACF78CF"/>
    <w:rsid w:val="3AE27603"/>
    <w:rsid w:val="3AE72E6B"/>
    <w:rsid w:val="3AED5FA8"/>
    <w:rsid w:val="3AFB2473"/>
    <w:rsid w:val="3B460044"/>
    <w:rsid w:val="3B4A33FA"/>
    <w:rsid w:val="3B4F0A10"/>
    <w:rsid w:val="3B547DD5"/>
    <w:rsid w:val="3B697D24"/>
    <w:rsid w:val="3B6F0FCC"/>
    <w:rsid w:val="3B83616D"/>
    <w:rsid w:val="3B8E3F09"/>
    <w:rsid w:val="3B9F54F4"/>
    <w:rsid w:val="3BB05953"/>
    <w:rsid w:val="3BB15227"/>
    <w:rsid w:val="3BB32D4D"/>
    <w:rsid w:val="3BB70A8F"/>
    <w:rsid w:val="3BC9431F"/>
    <w:rsid w:val="3BD70BDB"/>
    <w:rsid w:val="3BEB698B"/>
    <w:rsid w:val="3C123F18"/>
    <w:rsid w:val="3C37397E"/>
    <w:rsid w:val="3C463BC1"/>
    <w:rsid w:val="3C4B567C"/>
    <w:rsid w:val="3C6D73A0"/>
    <w:rsid w:val="3C74072E"/>
    <w:rsid w:val="3C7544A7"/>
    <w:rsid w:val="3C7921E9"/>
    <w:rsid w:val="3C805325"/>
    <w:rsid w:val="3CB44FCF"/>
    <w:rsid w:val="3CB74ABF"/>
    <w:rsid w:val="3CC05722"/>
    <w:rsid w:val="3CD71FE3"/>
    <w:rsid w:val="3CE27D8E"/>
    <w:rsid w:val="3CF47AC1"/>
    <w:rsid w:val="3D2008B6"/>
    <w:rsid w:val="3D2C725B"/>
    <w:rsid w:val="3D3879AE"/>
    <w:rsid w:val="3D3E2AEA"/>
    <w:rsid w:val="3D3E5145"/>
    <w:rsid w:val="3D5B18EE"/>
    <w:rsid w:val="3D5F318D"/>
    <w:rsid w:val="3D6A1B31"/>
    <w:rsid w:val="3D8E3A72"/>
    <w:rsid w:val="3DA45043"/>
    <w:rsid w:val="3DA74075"/>
    <w:rsid w:val="3DA817AF"/>
    <w:rsid w:val="3DC92CFC"/>
    <w:rsid w:val="3E285C74"/>
    <w:rsid w:val="3E3208A1"/>
    <w:rsid w:val="3E3363C7"/>
    <w:rsid w:val="3E432AAE"/>
    <w:rsid w:val="3E7F33BB"/>
    <w:rsid w:val="3E810EE1"/>
    <w:rsid w:val="3E94330A"/>
    <w:rsid w:val="3EC139D3"/>
    <w:rsid w:val="3EC7672F"/>
    <w:rsid w:val="3ED100BA"/>
    <w:rsid w:val="3ED25BE0"/>
    <w:rsid w:val="3ED41958"/>
    <w:rsid w:val="3ED43706"/>
    <w:rsid w:val="3F035D9A"/>
    <w:rsid w:val="3F1461F9"/>
    <w:rsid w:val="3F20694C"/>
    <w:rsid w:val="3F2301EA"/>
    <w:rsid w:val="3F281CA4"/>
    <w:rsid w:val="3F2B709E"/>
    <w:rsid w:val="3F316DAB"/>
    <w:rsid w:val="3F4168C2"/>
    <w:rsid w:val="3F4E170B"/>
    <w:rsid w:val="3F650802"/>
    <w:rsid w:val="3F6820A1"/>
    <w:rsid w:val="3F6B01EA"/>
    <w:rsid w:val="3F6F78D3"/>
    <w:rsid w:val="3F7E18C4"/>
    <w:rsid w:val="3F8A2017"/>
    <w:rsid w:val="3FBD419A"/>
    <w:rsid w:val="3FC65745"/>
    <w:rsid w:val="3FC75019"/>
    <w:rsid w:val="3FCF2B71"/>
    <w:rsid w:val="3FE138CA"/>
    <w:rsid w:val="3FEA0D08"/>
    <w:rsid w:val="3FF57DD8"/>
    <w:rsid w:val="40112738"/>
    <w:rsid w:val="402B37FA"/>
    <w:rsid w:val="404843AC"/>
    <w:rsid w:val="404965D4"/>
    <w:rsid w:val="40955117"/>
    <w:rsid w:val="40A84E4B"/>
    <w:rsid w:val="40DD52E8"/>
    <w:rsid w:val="41022FFD"/>
    <w:rsid w:val="412D35A2"/>
    <w:rsid w:val="41377F7D"/>
    <w:rsid w:val="41393CF5"/>
    <w:rsid w:val="413E755D"/>
    <w:rsid w:val="414032D5"/>
    <w:rsid w:val="415D5C35"/>
    <w:rsid w:val="41670862"/>
    <w:rsid w:val="417E2869"/>
    <w:rsid w:val="41AC096A"/>
    <w:rsid w:val="41B475E0"/>
    <w:rsid w:val="41B94E35"/>
    <w:rsid w:val="41BD66D4"/>
    <w:rsid w:val="41EA1493"/>
    <w:rsid w:val="421B33FA"/>
    <w:rsid w:val="42274495"/>
    <w:rsid w:val="423F17DF"/>
    <w:rsid w:val="424E1A22"/>
    <w:rsid w:val="42576B28"/>
    <w:rsid w:val="425D1C65"/>
    <w:rsid w:val="426E3E72"/>
    <w:rsid w:val="427608C8"/>
    <w:rsid w:val="42864D18"/>
    <w:rsid w:val="4290203A"/>
    <w:rsid w:val="42A87384"/>
    <w:rsid w:val="42C972FA"/>
    <w:rsid w:val="42D00689"/>
    <w:rsid w:val="42E83C24"/>
    <w:rsid w:val="42EF6D61"/>
    <w:rsid w:val="42F26851"/>
    <w:rsid w:val="430F7403"/>
    <w:rsid w:val="43150FF8"/>
    <w:rsid w:val="43236A0A"/>
    <w:rsid w:val="432A5FEB"/>
    <w:rsid w:val="43482915"/>
    <w:rsid w:val="434846C3"/>
    <w:rsid w:val="438D0328"/>
    <w:rsid w:val="43947908"/>
    <w:rsid w:val="43994F1E"/>
    <w:rsid w:val="43A062AD"/>
    <w:rsid w:val="43A86F10"/>
    <w:rsid w:val="43BE6733"/>
    <w:rsid w:val="43D6135A"/>
    <w:rsid w:val="43F3462F"/>
    <w:rsid w:val="43F42155"/>
    <w:rsid w:val="43FD54AD"/>
    <w:rsid w:val="4407632C"/>
    <w:rsid w:val="440E1469"/>
    <w:rsid w:val="44136A7F"/>
    <w:rsid w:val="441F5424"/>
    <w:rsid w:val="443133A9"/>
    <w:rsid w:val="44352E99"/>
    <w:rsid w:val="444906F3"/>
    <w:rsid w:val="444924A1"/>
    <w:rsid w:val="444A6219"/>
    <w:rsid w:val="444E121C"/>
    <w:rsid w:val="4453331F"/>
    <w:rsid w:val="445A2900"/>
    <w:rsid w:val="446948F1"/>
    <w:rsid w:val="448E25A9"/>
    <w:rsid w:val="44A8366B"/>
    <w:rsid w:val="44B26298"/>
    <w:rsid w:val="44F66452"/>
    <w:rsid w:val="450D1720"/>
    <w:rsid w:val="451A5BEB"/>
    <w:rsid w:val="45237196"/>
    <w:rsid w:val="45356EC9"/>
    <w:rsid w:val="453E18DA"/>
    <w:rsid w:val="45406713"/>
    <w:rsid w:val="45435142"/>
    <w:rsid w:val="45A02594"/>
    <w:rsid w:val="45BB5620"/>
    <w:rsid w:val="45C1250B"/>
    <w:rsid w:val="45C269AF"/>
    <w:rsid w:val="45C9289D"/>
    <w:rsid w:val="45DE130F"/>
    <w:rsid w:val="45EA380F"/>
    <w:rsid w:val="45F4643C"/>
    <w:rsid w:val="46050649"/>
    <w:rsid w:val="46184820"/>
    <w:rsid w:val="461B1C1B"/>
    <w:rsid w:val="461D3BE5"/>
    <w:rsid w:val="46396545"/>
    <w:rsid w:val="46576C72"/>
    <w:rsid w:val="46607F75"/>
    <w:rsid w:val="467D28D5"/>
    <w:rsid w:val="46841EB6"/>
    <w:rsid w:val="46B5206F"/>
    <w:rsid w:val="46B75DE7"/>
    <w:rsid w:val="46CB706D"/>
    <w:rsid w:val="46F53476"/>
    <w:rsid w:val="4732546E"/>
    <w:rsid w:val="473311E6"/>
    <w:rsid w:val="474927B8"/>
    <w:rsid w:val="476870E2"/>
    <w:rsid w:val="476B36C0"/>
    <w:rsid w:val="478A7058"/>
    <w:rsid w:val="47CA0F85"/>
    <w:rsid w:val="47DB78B4"/>
    <w:rsid w:val="47E30E5E"/>
    <w:rsid w:val="47E524E0"/>
    <w:rsid w:val="47ED5839"/>
    <w:rsid w:val="47F00E85"/>
    <w:rsid w:val="48174664"/>
    <w:rsid w:val="482E032B"/>
    <w:rsid w:val="483B65A4"/>
    <w:rsid w:val="486A0C38"/>
    <w:rsid w:val="48741AB6"/>
    <w:rsid w:val="487B1097"/>
    <w:rsid w:val="48802209"/>
    <w:rsid w:val="48831CF9"/>
    <w:rsid w:val="48E924A4"/>
    <w:rsid w:val="48FC3F85"/>
    <w:rsid w:val="490E3CB9"/>
    <w:rsid w:val="491F1A22"/>
    <w:rsid w:val="49276B29"/>
    <w:rsid w:val="49290AF3"/>
    <w:rsid w:val="492E7EB7"/>
    <w:rsid w:val="49325BF9"/>
    <w:rsid w:val="49331971"/>
    <w:rsid w:val="493C4382"/>
    <w:rsid w:val="494476DB"/>
    <w:rsid w:val="4967691C"/>
    <w:rsid w:val="49697141"/>
    <w:rsid w:val="496E4757"/>
    <w:rsid w:val="49725FF6"/>
    <w:rsid w:val="497F0713"/>
    <w:rsid w:val="497F4AA1"/>
    <w:rsid w:val="4989333F"/>
    <w:rsid w:val="498E6BA8"/>
    <w:rsid w:val="49942410"/>
    <w:rsid w:val="49A47292"/>
    <w:rsid w:val="49AD3C2F"/>
    <w:rsid w:val="49B900C8"/>
    <w:rsid w:val="49BC1967"/>
    <w:rsid w:val="49C03205"/>
    <w:rsid w:val="49D30A41"/>
    <w:rsid w:val="49D56585"/>
    <w:rsid w:val="49F44C5D"/>
    <w:rsid w:val="4A361719"/>
    <w:rsid w:val="4A3634C7"/>
    <w:rsid w:val="4A3B0ADD"/>
    <w:rsid w:val="4A3E05CE"/>
    <w:rsid w:val="4A477482"/>
    <w:rsid w:val="4A4831FA"/>
    <w:rsid w:val="4A622219"/>
    <w:rsid w:val="4A8204BA"/>
    <w:rsid w:val="4A834233"/>
    <w:rsid w:val="4AAA2E16"/>
    <w:rsid w:val="4AD54A8E"/>
    <w:rsid w:val="4AE178D7"/>
    <w:rsid w:val="4AF34F14"/>
    <w:rsid w:val="4B0E61F2"/>
    <w:rsid w:val="4B105AC6"/>
    <w:rsid w:val="4B1F6DF2"/>
    <w:rsid w:val="4B201A81"/>
    <w:rsid w:val="4B223A4B"/>
    <w:rsid w:val="4B2C48CA"/>
    <w:rsid w:val="4B8D35BB"/>
    <w:rsid w:val="4B8E4FF2"/>
    <w:rsid w:val="4B904E59"/>
    <w:rsid w:val="4BBC79FC"/>
    <w:rsid w:val="4BC863A1"/>
    <w:rsid w:val="4C03387D"/>
    <w:rsid w:val="4C0B2731"/>
    <w:rsid w:val="4C26756B"/>
    <w:rsid w:val="4C4F6AC2"/>
    <w:rsid w:val="4C673E0C"/>
    <w:rsid w:val="4C7E2F03"/>
    <w:rsid w:val="4C8317CE"/>
    <w:rsid w:val="4C883D82"/>
    <w:rsid w:val="4C9E35A6"/>
    <w:rsid w:val="4CB44B77"/>
    <w:rsid w:val="4CC254E6"/>
    <w:rsid w:val="4CC34DBA"/>
    <w:rsid w:val="4CCA6149"/>
    <w:rsid w:val="4CD3324F"/>
    <w:rsid w:val="4CD46FC7"/>
    <w:rsid w:val="4CEF072B"/>
    <w:rsid w:val="4CFF46FD"/>
    <w:rsid w:val="4D0B0C3B"/>
    <w:rsid w:val="4D106251"/>
    <w:rsid w:val="4D1F0243"/>
    <w:rsid w:val="4D2B4E39"/>
    <w:rsid w:val="4D2E66D8"/>
    <w:rsid w:val="4D3F08E5"/>
    <w:rsid w:val="4D551EB6"/>
    <w:rsid w:val="4D893268"/>
    <w:rsid w:val="4D9D1381"/>
    <w:rsid w:val="4D9D560B"/>
    <w:rsid w:val="4DA1334D"/>
    <w:rsid w:val="4DA4699A"/>
    <w:rsid w:val="4DB7491F"/>
    <w:rsid w:val="4DC92CD7"/>
    <w:rsid w:val="4E0B6A19"/>
    <w:rsid w:val="4E1458CD"/>
    <w:rsid w:val="4E28581D"/>
    <w:rsid w:val="4E3E294A"/>
    <w:rsid w:val="4E600B13"/>
    <w:rsid w:val="4E8D38D2"/>
    <w:rsid w:val="4EC5306C"/>
    <w:rsid w:val="4ED137BE"/>
    <w:rsid w:val="4F1B65AF"/>
    <w:rsid w:val="4F22401A"/>
    <w:rsid w:val="4F2F6737"/>
    <w:rsid w:val="4F4421E2"/>
    <w:rsid w:val="4F5368C9"/>
    <w:rsid w:val="4F691C49"/>
    <w:rsid w:val="4F732AC8"/>
    <w:rsid w:val="4F8B1BBF"/>
    <w:rsid w:val="4FAB04B3"/>
    <w:rsid w:val="4FB1539E"/>
    <w:rsid w:val="4FC275AB"/>
    <w:rsid w:val="4FC41575"/>
    <w:rsid w:val="4FC82E13"/>
    <w:rsid w:val="4FCE7CFE"/>
    <w:rsid w:val="4FF04118"/>
    <w:rsid w:val="4FFC0D0F"/>
    <w:rsid w:val="50057955"/>
    <w:rsid w:val="501222E0"/>
    <w:rsid w:val="5015592D"/>
    <w:rsid w:val="502913D8"/>
    <w:rsid w:val="50461F8A"/>
    <w:rsid w:val="504F7091"/>
    <w:rsid w:val="50744D49"/>
    <w:rsid w:val="50772144"/>
    <w:rsid w:val="507B7E86"/>
    <w:rsid w:val="50836D3A"/>
    <w:rsid w:val="508605D9"/>
    <w:rsid w:val="50A32F39"/>
    <w:rsid w:val="50AC6291"/>
    <w:rsid w:val="50DE0415"/>
    <w:rsid w:val="50E0418D"/>
    <w:rsid w:val="50E7551B"/>
    <w:rsid w:val="50F1639A"/>
    <w:rsid w:val="510E0CFA"/>
    <w:rsid w:val="51112598"/>
    <w:rsid w:val="51180D53"/>
    <w:rsid w:val="514E559A"/>
    <w:rsid w:val="515F3303"/>
    <w:rsid w:val="51735001"/>
    <w:rsid w:val="51752B27"/>
    <w:rsid w:val="51946F44"/>
    <w:rsid w:val="51AE7211"/>
    <w:rsid w:val="51C770FB"/>
    <w:rsid w:val="51D6733E"/>
    <w:rsid w:val="51DD06CC"/>
    <w:rsid w:val="51DF61F2"/>
    <w:rsid w:val="51EE4687"/>
    <w:rsid w:val="51F53C68"/>
    <w:rsid w:val="5233653E"/>
    <w:rsid w:val="523522B6"/>
    <w:rsid w:val="525A3ACB"/>
    <w:rsid w:val="52796647"/>
    <w:rsid w:val="52884ADC"/>
    <w:rsid w:val="52950FA7"/>
    <w:rsid w:val="52A01E26"/>
    <w:rsid w:val="52A31916"/>
    <w:rsid w:val="52AF02BB"/>
    <w:rsid w:val="52AF3E17"/>
    <w:rsid w:val="52B92EE7"/>
    <w:rsid w:val="52C8312A"/>
    <w:rsid w:val="52E16484"/>
    <w:rsid w:val="52ED0DE3"/>
    <w:rsid w:val="52ED493F"/>
    <w:rsid w:val="52F43F1F"/>
    <w:rsid w:val="52F7756C"/>
    <w:rsid w:val="530C1269"/>
    <w:rsid w:val="531F5E2E"/>
    <w:rsid w:val="53204D14"/>
    <w:rsid w:val="536A41E2"/>
    <w:rsid w:val="537806AC"/>
    <w:rsid w:val="5382152B"/>
    <w:rsid w:val="538B4884"/>
    <w:rsid w:val="539D0113"/>
    <w:rsid w:val="53A45945"/>
    <w:rsid w:val="53A96AB8"/>
    <w:rsid w:val="53E45D42"/>
    <w:rsid w:val="53F02939"/>
    <w:rsid w:val="541008E5"/>
    <w:rsid w:val="5415414D"/>
    <w:rsid w:val="5419749F"/>
    <w:rsid w:val="542A6365"/>
    <w:rsid w:val="543F11CA"/>
    <w:rsid w:val="54492049"/>
    <w:rsid w:val="5452714F"/>
    <w:rsid w:val="54843081"/>
    <w:rsid w:val="54882B71"/>
    <w:rsid w:val="549C661D"/>
    <w:rsid w:val="54CA318A"/>
    <w:rsid w:val="54DC110F"/>
    <w:rsid w:val="54F2623D"/>
    <w:rsid w:val="54F77CF7"/>
    <w:rsid w:val="55083CB2"/>
    <w:rsid w:val="551B39E5"/>
    <w:rsid w:val="551C775D"/>
    <w:rsid w:val="55287EB0"/>
    <w:rsid w:val="55630EE8"/>
    <w:rsid w:val="55674E7D"/>
    <w:rsid w:val="55713605"/>
    <w:rsid w:val="55805F3E"/>
    <w:rsid w:val="55B61960"/>
    <w:rsid w:val="55C20305"/>
    <w:rsid w:val="55CB540B"/>
    <w:rsid w:val="55CE6CAA"/>
    <w:rsid w:val="55F12998"/>
    <w:rsid w:val="55F45FE4"/>
    <w:rsid w:val="55F93D86"/>
    <w:rsid w:val="56095F34"/>
    <w:rsid w:val="561B7A15"/>
    <w:rsid w:val="561F7505"/>
    <w:rsid w:val="56301712"/>
    <w:rsid w:val="563C1E65"/>
    <w:rsid w:val="56521689"/>
    <w:rsid w:val="565D002E"/>
    <w:rsid w:val="565E627F"/>
    <w:rsid w:val="56755377"/>
    <w:rsid w:val="56B20379"/>
    <w:rsid w:val="56CA56C3"/>
    <w:rsid w:val="56D86E7D"/>
    <w:rsid w:val="56E803BD"/>
    <w:rsid w:val="571526B6"/>
    <w:rsid w:val="575136EE"/>
    <w:rsid w:val="575D6537"/>
    <w:rsid w:val="576B22D6"/>
    <w:rsid w:val="57827D4C"/>
    <w:rsid w:val="578810DA"/>
    <w:rsid w:val="5797131D"/>
    <w:rsid w:val="57B63CAC"/>
    <w:rsid w:val="57CC0FC7"/>
    <w:rsid w:val="57FA3D86"/>
    <w:rsid w:val="58003366"/>
    <w:rsid w:val="58117322"/>
    <w:rsid w:val="58240E03"/>
    <w:rsid w:val="582901C7"/>
    <w:rsid w:val="582C5F09"/>
    <w:rsid w:val="582F1556"/>
    <w:rsid w:val="58437ACC"/>
    <w:rsid w:val="584B2834"/>
    <w:rsid w:val="585D4315"/>
    <w:rsid w:val="58692CBA"/>
    <w:rsid w:val="5889177A"/>
    <w:rsid w:val="589233DD"/>
    <w:rsid w:val="589F66DB"/>
    <w:rsid w:val="58A65CBC"/>
    <w:rsid w:val="58EE31BF"/>
    <w:rsid w:val="58FA6008"/>
    <w:rsid w:val="59025629"/>
    <w:rsid w:val="590B0E06"/>
    <w:rsid w:val="59262959"/>
    <w:rsid w:val="59284923"/>
    <w:rsid w:val="592D3CE7"/>
    <w:rsid w:val="5943350B"/>
    <w:rsid w:val="594D4389"/>
    <w:rsid w:val="595E6596"/>
    <w:rsid w:val="59AF0BA0"/>
    <w:rsid w:val="59AF294E"/>
    <w:rsid w:val="5A0F7891"/>
    <w:rsid w:val="5A1629CD"/>
    <w:rsid w:val="5A2450EA"/>
    <w:rsid w:val="5A274BDA"/>
    <w:rsid w:val="5A386DE8"/>
    <w:rsid w:val="5A3D43FE"/>
    <w:rsid w:val="5A3D61AC"/>
    <w:rsid w:val="5A67147B"/>
    <w:rsid w:val="5A695EFF"/>
    <w:rsid w:val="5A6C083F"/>
    <w:rsid w:val="5A9009D2"/>
    <w:rsid w:val="5AC8016B"/>
    <w:rsid w:val="5AE20B01"/>
    <w:rsid w:val="5AE76118"/>
    <w:rsid w:val="5AED1980"/>
    <w:rsid w:val="5AF92CFC"/>
    <w:rsid w:val="5AF96577"/>
    <w:rsid w:val="5AFC7E15"/>
    <w:rsid w:val="5B174C4F"/>
    <w:rsid w:val="5B1F3B03"/>
    <w:rsid w:val="5B2D6220"/>
    <w:rsid w:val="5B4F43E9"/>
    <w:rsid w:val="5B57329D"/>
    <w:rsid w:val="5B615ECA"/>
    <w:rsid w:val="5B6836FC"/>
    <w:rsid w:val="5B6854AA"/>
    <w:rsid w:val="5BA1276A"/>
    <w:rsid w:val="5BA835D7"/>
    <w:rsid w:val="5BAC183B"/>
    <w:rsid w:val="5BAC35E9"/>
    <w:rsid w:val="5BC00E43"/>
    <w:rsid w:val="5BC30933"/>
    <w:rsid w:val="5BED59B0"/>
    <w:rsid w:val="5C0A6562"/>
    <w:rsid w:val="5C0F1DCA"/>
    <w:rsid w:val="5C25339C"/>
    <w:rsid w:val="5C2C64D8"/>
    <w:rsid w:val="5C337866"/>
    <w:rsid w:val="5C3F445D"/>
    <w:rsid w:val="5C4001D5"/>
    <w:rsid w:val="5C423F4D"/>
    <w:rsid w:val="5C49708A"/>
    <w:rsid w:val="5C4A4BB0"/>
    <w:rsid w:val="5C4E28F2"/>
    <w:rsid w:val="5C7B120D"/>
    <w:rsid w:val="5C8400C2"/>
    <w:rsid w:val="5C8E7193"/>
    <w:rsid w:val="5C983B6D"/>
    <w:rsid w:val="5CA644DC"/>
    <w:rsid w:val="5CC04E72"/>
    <w:rsid w:val="5CD34BA6"/>
    <w:rsid w:val="5D015BB7"/>
    <w:rsid w:val="5D096819"/>
    <w:rsid w:val="5D1C479E"/>
    <w:rsid w:val="5D301FF8"/>
    <w:rsid w:val="5D3E5631"/>
    <w:rsid w:val="5D437F7D"/>
    <w:rsid w:val="5D4D2BAA"/>
    <w:rsid w:val="5D63417B"/>
    <w:rsid w:val="5D9E1657"/>
    <w:rsid w:val="5D9F2CDA"/>
    <w:rsid w:val="5DAD3649"/>
    <w:rsid w:val="5DB03139"/>
    <w:rsid w:val="5DD46E27"/>
    <w:rsid w:val="5E03770C"/>
    <w:rsid w:val="5E135BA1"/>
    <w:rsid w:val="5E162F9C"/>
    <w:rsid w:val="5E345B18"/>
    <w:rsid w:val="5E453881"/>
    <w:rsid w:val="5E4E6BDA"/>
    <w:rsid w:val="5E5C65B5"/>
    <w:rsid w:val="5E7D301B"/>
    <w:rsid w:val="5E8E6FD6"/>
    <w:rsid w:val="5E9465B6"/>
    <w:rsid w:val="5E9B16F3"/>
    <w:rsid w:val="5EA70098"/>
    <w:rsid w:val="5EB34C8F"/>
    <w:rsid w:val="5ED115B9"/>
    <w:rsid w:val="5ED52E57"/>
    <w:rsid w:val="5EF62DCD"/>
    <w:rsid w:val="5EFA0B0F"/>
    <w:rsid w:val="5EFC4888"/>
    <w:rsid w:val="5F011E9E"/>
    <w:rsid w:val="5F04373C"/>
    <w:rsid w:val="5F0E45BB"/>
    <w:rsid w:val="5F4104EC"/>
    <w:rsid w:val="5F494D5F"/>
    <w:rsid w:val="5F667F53"/>
    <w:rsid w:val="5F70492E"/>
    <w:rsid w:val="5F7A4ECE"/>
    <w:rsid w:val="5F99078B"/>
    <w:rsid w:val="5F9C1BC7"/>
    <w:rsid w:val="5F9E593F"/>
    <w:rsid w:val="5FA647F3"/>
    <w:rsid w:val="5FE315A4"/>
    <w:rsid w:val="5FE570CA"/>
    <w:rsid w:val="5FE80793"/>
    <w:rsid w:val="5FEC48FC"/>
    <w:rsid w:val="60003F04"/>
    <w:rsid w:val="60382365"/>
    <w:rsid w:val="60483AFC"/>
    <w:rsid w:val="605E50CE"/>
    <w:rsid w:val="6071095D"/>
    <w:rsid w:val="60820DBC"/>
    <w:rsid w:val="608C39E9"/>
    <w:rsid w:val="609B3C2C"/>
    <w:rsid w:val="60A54AAB"/>
    <w:rsid w:val="60A9459B"/>
    <w:rsid w:val="60BB42CE"/>
    <w:rsid w:val="60D4713E"/>
    <w:rsid w:val="60E94998"/>
    <w:rsid w:val="60F0406F"/>
    <w:rsid w:val="611A7247"/>
    <w:rsid w:val="611D2893"/>
    <w:rsid w:val="6142054C"/>
    <w:rsid w:val="61502C69"/>
    <w:rsid w:val="61896F93"/>
    <w:rsid w:val="61932B55"/>
    <w:rsid w:val="619D39D4"/>
    <w:rsid w:val="619D5782"/>
    <w:rsid w:val="61A22D98"/>
    <w:rsid w:val="61BC23E5"/>
    <w:rsid w:val="61BE4076"/>
    <w:rsid w:val="61D07906"/>
    <w:rsid w:val="61D54F1C"/>
    <w:rsid w:val="61DA0784"/>
    <w:rsid w:val="61DC274E"/>
    <w:rsid w:val="6208709F"/>
    <w:rsid w:val="621E4B15"/>
    <w:rsid w:val="6239194F"/>
    <w:rsid w:val="62516C98"/>
    <w:rsid w:val="625C73EB"/>
    <w:rsid w:val="627E7362"/>
    <w:rsid w:val="628250A4"/>
    <w:rsid w:val="62943029"/>
    <w:rsid w:val="629923ED"/>
    <w:rsid w:val="629B7F14"/>
    <w:rsid w:val="629E7A04"/>
    <w:rsid w:val="62A019CE"/>
    <w:rsid w:val="62A82630"/>
    <w:rsid w:val="62AA45FB"/>
    <w:rsid w:val="62B334AF"/>
    <w:rsid w:val="62CA6A4B"/>
    <w:rsid w:val="630B467F"/>
    <w:rsid w:val="633B16F7"/>
    <w:rsid w:val="63536A40"/>
    <w:rsid w:val="63640C4D"/>
    <w:rsid w:val="637C7D45"/>
    <w:rsid w:val="637D3ABD"/>
    <w:rsid w:val="637F4537"/>
    <w:rsid w:val="63817950"/>
    <w:rsid w:val="638D765F"/>
    <w:rsid w:val="63B82D47"/>
    <w:rsid w:val="63BC6393"/>
    <w:rsid w:val="63BC6F1A"/>
    <w:rsid w:val="63DF7B42"/>
    <w:rsid w:val="63FD075A"/>
    <w:rsid w:val="641E2BAA"/>
    <w:rsid w:val="642301C1"/>
    <w:rsid w:val="64487C27"/>
    <w:rsid w:val="64682077"/>
    <w:rsid w:val="64721148"/>
    <w:rsid w:val="647A1DAB"/>
    <w:rsid w:val="64896817"/>
    <w:rsid w:val="648A0240"/>
    <w:rsid w:val="64947310"/>
    <w:rsid w:val="64994927"/>
    <w:rsid w:val="64B654D9"/>
    <w:rsid w:val="64B90B25"/>
    <w:rsid w:val="64E21E2A"/>
    <w:rsid w:val="64FB738F"/>
    <w:rsid w:val="651346D9"/>
    <w:rsid w:val="651915C4"/>
    <w:rsid w:val="651A5C23"/>
    <w:rsid w:val="6522491C"/>
    <w:rsid w:val="652341F0"/>
    <w:rsid w:val="6549634D"/>
    <w:rsid w:val="65516FAF"/>
    <w:rsid w:val="65622F6B"/>
    <w:rsid w:val="659550EE"/>
    <w:rsid w:val="65B01F28"/>
    <w:rsid w:val="65F71905"/>
    <w:rsid w:val="65F928D6"/>
    <w:rsid w:val="662841B4"/>
    <w:rsid w:val="662B7800"/>
    <w:rsid w:val="662D3578"/>
    <w:rsid w:val="662F5543"/>
    <w:rsid w:val="664B7EA3"/>
    <w:rsid w:val="666F6B5A"/>
    <w:rsid w:val="66846F11"/>
    <w:rsid w:val="66A94523"/>
    <w:rsid w:val="66C11F13"/>
    <w:rsid w:val="66CF4630"/>
    <w:rsid w:val="66FE6CC3"/>
    <w:rsid w:val="67000C8D"/>
    <w:rsid w:val="6702167E"/>
    <w:rsid w:val="671D539B"/>
    <w:rsid w:val="672524A2"/>
    <w:rsid w:val="67283D40"/>
    <w:rsid w:val="672F1572"/>
    <w:rsid w:val="67424E02"/>
    <w:rsid w:val="674E19F8"/>
    <w:rsid w:val="6760172C"/>
    <w:rsid w:val="67786A75"/>
    <w:rsid w:val="67A05FCC"/>
    <w:rsid w:val="67A755AC"/>
    <w:rsid w:val="67CC0B6F"/>
    <w:rsid w:val="67DF6AF4"/>
    <w:rsid w:val="67EB5179"/>
    <w:rsid w:val="67EB5499"/>
    <w:rsid w:val="680F6E75"/>
    <w:rsid w:val="681A18DB"/>
    <w:rsid w:val="681C72C6"/>
    <w:rsid w:val="68210EBB"/>
    <w:rsid w:val="6832131A"/>
    <w:rsid w:val="683C3F47"/>
    <w:rsid w:val="68511F1F"/>
    <w:rsid w:val="68580655"/>
    <w:rsid w:val="685A261F"/>
    <w:rsid w:val="68680898"/>
    <w:rsid w:val="68686AEA"/>
    <w:rsid w:val="686D4C1F"/>
    <w:rsid w:val="687E455F"/>
    <w:rsid w:val="68955405"/>
    <w:rsid w:val="68A613C0"/>
    <w:rsid w:val="68AB2E7A"/>
    <w:rsid w:val="68AD7852"/>
    <w:rsid w:val="68C857DA"/>
    <w:rsid w:val="68E87C2B"/>
    <w:rsid w:val="68F10EFC"/>
    <w:rsid w:val="68F760C0"/>
    <w:rsid w:val="68FC7232"/>
    <w:rsid w:val="690507DD"/>
    <w:rsid w:val="690D143F"/>
    <w:rsid w:val="690F51B7"/>
    <w:rsid w:val="69112CDD"/>
    <w:rsid w:val="69126A56"/>
    <w:rsid w:val="691E189E"/>
    <w:rsid w:val="69360996"/>
    <w:rsid w:val="69531548"/>
    <w:rsid w:val="6954706E"/>
    <w:rsid w:val="697D0373"/>
    <w:rsid w:val="69872FA0"/>
    <w:rsid w:val="698A0CE2"/>
    <w:rsid w:val="69C97A5C"/>
    <w:rsid w:val="6A184540"/>
    <w:rsid w:val="6A2C1D99"/>
    <w:rsid w:val="6A513BED"/>
    <w:rsid w:val="6A771266"/>
    <w:rsid w:val="6A793230"/>
    <w:rsid w:val="6A892075"/>
    <w:rsid w:val="6AA162E3"/>
    <w:rsid w:val="6AA656A7"/>
    <w:rsid w:val="6AB06526"/>
    <w:rsid w:val="6AB46016"/>
    <w:rsid w:val="6AB778B5"/>
    <w:rsid w:val="6AD466B8"/>
    <w:rsid w:val="6ADF6E0B"/>
    <w:rsid w:val="6AF74155"/>
    <w:rsid w:val="6B272C8C"/>
    <w:rsid w:val="6B2F1B41"/>
    <w:rsid w:val="6B2F7D93"/>
    <w:rsid w:val="6B3158B9"/>
    <w:rsid w:val="6B4750DC"/>
    <w:rsid w:val="6B563571"/>
    <w:rsid w:val="6B923E7E"/>
    <w:rsid w:val="6BA87826"/>
    <w:rsid w:val="6BB34520"/>
    <w:rsid w:val="6BBE4C73"/>
    <w:rsid w:val="6BC32289"/>
    <w:rsid w:val="6BD44496"/>
    <w:rsid w:val="6BDD334B"/>
    <w:rsid w:val="6BE0108D"/>
    <w:rsid w:val="6BF6440D"/>
    <w:rsid w:val="6BFA3EFD"/>
    <w:rsid w:val="6BFB1A23"/>
    <w:rsid w:val="6C0F1747"/>
    <w:rsid w:val="6C117498"/>
    <w:rsid w:val="6C1236EB"/>
    <w:rsid w:val="6C256AA0"/>
    <w:rsid w:val="6C586E75"/>
    <w:rsid w:val="6C5C6966"/>
    <w:rsid w:val="6C643A6C"/>
    <w:rsid w:val="6C7C2B64"/>
    <w:rsid w:val="6C832C74"/>
    <w:rsid w:val="6C9003BD"/>
    <w:rsid w:val="6CD97FB6"/>
    <w:rsid w:val="6CFF3DA0"/>
    <w:rsid w:val="6D0B213A"/>
    <w:rsid w:val="6D0D7C60"/>
    <w:rsid w:val="6D1014FE"/>
    <w:rsid w:val="6D400035"/>
    <w:rsid w:val="6D45564C"/>
    <w:rsid w:val="6D561607"/>
    <w:rsid w:val="6D5C2A3C"/>
    <w:rsid w:val="6D7C6B93"/>
    <w:rsid w:val="6DA73C10"/>
    <w:rsid w:val="6DCF760B"/>
    <w:rsid w:val="6DF350A8"/>
    <w:rsid w:val="6DF901E4"/>
    <w:rsid w:val="6E192634"/>
    <w:rsid w:val="6E3B07FD"/>
    <w:rsid w:val="6E443B55"/>
    <w:rsid w:val="6E4B4EE4"/>
    <w:rsid w:val="6E62222D"/>
    <w:rsid w:val="6E623FDB"/>
    <w:rsid w:val="6E7D0E15"/>
    <w:rsid w:val="6E810905"/>
    <w:rsid w:val="6E8E4DD0"/>
    <w:rsid w:val="6E9C74ED"/>
    <w:rsid w:val="6E9D5013"/>
    <w:rsid w:val="6EB42E58"/>
    <w:rsid w:val="6EC627BC"/>
    <w:rsid w:val="6EED1AF7"/>
    <w:rsid w:val="6EF70BC7"/>
    <w:rsid w:val="6EFE1F56"/>
    <w:rsid w:val="6EFF7A7C"/>
    <w:rsid w:val="6F0C68C3"/>
    <w:rsid w:val="6F0D03EB"/>
    <w:rsid w:val="6F0D3F47"/>
    <w:rsid w:val="6F1352D6"/>
    <w:rsid w:val="6F141779"/>
    <w:rsid w:val="6F4D6A39"/>
    <w:rsid w:val="6F507AAE"/>
    <w:rsid w:val="6F83245B"/>
    <w:rsid w:val="6F96218E"/>
    <w:rsid w:val="6FA06B69"/>
    <w:rsid w:val="6FA33875"/>
    <w:rsid w:val="6FDC1B6B"/>
    <w:rsid w:val="6FDD600F"/>
    <w:rsid w:val="6FDD7DBD"/>
    <w:rsid w:val="6FEF7AF1"/>
    <w:rsid w:val="6FF62C2D"/>
    <w:rsid w:val="702C2AF3"/>
    <w:rsid w:val="702E23C7"/>
    <w:rsid w:val="70820965"/>
    <w:rsid w:val="709C1A26"/>
    <w:rsid w:val="70B054D2"/>
    <w:rsid w:val="70BD199D"/>
    <w:rsid w:val="70C525FF"/>
    <w:rsid w:val="70CE4947"/>
    <w:rsid w:val="70D311C0"/>
    <w:rsid w:val="70D54F38"/>
    <w:rsid w:val="70D70CB1"/>
    <w:rsid w:val="70DC62C7"/>
    <w:rsid w:val="70DF1913"/>
    <w:rsid w:val="71096990"/>
    <w:rsid w:val="71105F71"/>
    <w:rsid w:val="711C66C3"/>
    <w:rsid w:val="71267175"/>
    <w:rsid w:val="712B4B58"/>
    <w:rsid w:val="713F23B2"/>
    <w:rsid w:val="71551BD5"/>
    <w:rsid w:val="717E2EDA"/>
    <w:rsid w:val="71864485"/>
    <w:rsid w:val="71A60683"/>
    <w:rsid w:val="71BB2380"/>
    <w:rsid w:val="71CD5C10"/>
    <w:rsid w:val="71D376CA"/>
    <w:rsid w:val="720F6228"/>
    <w:rsid w:val="721101F2"/>
    <w:rsid w:val="72127AC6"/>
    <w:rsid w:val="724F1A43"/>
    <w:rsid w:val="7258197D"/>
    <w:rsid w:val="726227FC"/>
    <w:rsid w:val="7298446F"/>
    <w:rsid w:val="72987FCC"/>
    <w:rsid w:val="72B868C0"/>
    <w:rsid w:val="72BA43E6"/>
    <w:rsid w:val="72BD7A32"/>
    <w:rsid w:val="72BF19FC"/>
    <w:rsid w:val="72DF5BFA"/>
    <w:rsid w:val="72E256EB"/>
    <w:rsid w:val="72FF629D"/>
    <w:rsid w:val="7306587D"/>
    <w:rsid w:val="73125FD0"/>
    <w:rsid w:val="73260244"/>
    <w:rsid w:val="732948A8"/>
    <w:rsid w:val="73530396"/>
    <w:rsid w:val="735A1725"/>
    <w:rsid w:val="735C549D"/>
    <w:rsid w:val="736E51D0"/>
    <w:rsid w:val="7375030D"/>
    <w:rsid w:val="737C5B3F"/>
    <w:rsid w:val="739D2AF4"/>
    <w:rsid w:val="73A14D27"/>
    <w:rsid w:val="73A17354"/>
    <w:rsid w:val="73D239B1"/>
    <w:rsid w:val="73FE6554"/>
    <w:rsid w:val="74017DF2"/>
    <w:rsid w:val="74035919"/>
    <w:rsid w:val="7443665D"/>
    <w:rsid w:val="744E128A"/>
    <w:rsid w:val="746C1710"/>
    <w:rsid w:val="746C7962"/>
    <w:rsid w:val="746E36DA"/>
    <w:rsid w:val="746E5488"/>
    <w:rsid w:val="747D1B6F"/>
    <w:rsid w:val="747F7695"/>
    <w:rsid w:val="74C91C54"/>
    <w:rsid w:val="74E25E76"/>
    <w:rsid w:val="74E76FE8"/>
    <w:rsid w:val="74FB2A94"/>
    <w:rsid w:val="750162FC"/>
    <w:rsid w:val="75030E61"/>
    <w:rsid w:val="75120509"/>
    <w:rsid w:val="7516456D"/>
    <w:rsid w:val="751D2A0A"/>
    <w:rsid w:val="75271ADB"/>
    <w:rsid w:val="753366D1"/>
    <w:rsid w:val="75357D54"/>
    <w:rsid w:val="75373CDC"/>
    <w:rsid w:val="7541494A"/>
    <w:rsid w:val="754E7067"/>
    <w:rsid w:val="75630D65"/>
    <w:rsid w:val="756B5E6B"/>
    <w:rsid w:val="75720FA8"/>
    <w:rsid w:val="75840CDB"/>
    <w:rsid w:val="758E56B6"/>
    <w:rsid w:val="75A82C1C"/>
    <w:rsid w:val="75A924F0"/>
    <w:rsid w:val="75D237F5"/>
    <w:rsid w:val="75D27C98"/>
    <w:rsid w:val="75DB44C9"/>
    <w:rsid w:val="75EB2B08"/>
    <w:rsid w:val="75EB48B6"/>
    <w:rsid w:val="75EF25F8"/>
    <w:rsid w:val="75F0011F"/>
    <w:rsid w:val="75F53987"/>
    <w:rsid w:val="76285B0A"/>
    <w:rsid w:val="76465F91"/>
    <w:rsid w:val="765D3A06"/>
    <w:rsid w:val="767174B1"/>
    <w:rsid w:val="767B0330"/>
    <w:rsid w:val="769000ED"/>
    <w:rsid w:val="76A35191"/>
    <w:rsid w:val="76B63116"/>
    <w:rsid w:val="76C03F95"/>
    <w:rsid w:val="76C64558"/>
    <w:rsid w:val="76FD0D45"/>
    <w:rsid w:val="770863A3"/>
    <w:rsid w:val="770976EA"/>
    <w:rsid w:val="7711657D"/>
    <w:rsid w:val="77132317"/>
    <w:rsid w:val="772C33D8"/>
    <w:rsid w:val="77400C32"/>
    <w:rsid w:val="776112D4"/>
    <w:rsid w:val="77D23F80"/>
    <w:rsid w:val="77E12415"/>
    <w:rsid w:val="77E617D9"/>
    <w:rsid w:val="77F008AA"/>
    <w:rsid w:val="78070C1D"/>
    <w:rsid w:val="781E0F73"/>
    <w:rsid w:val="78412EB3"/>
    <w:rsid w:val="7860158C"/>
    <w:rsid w:val="7860333A"/>
    <w:rsid w:val="78762B5D"/>
    <w:rsid w:val="78961451"/>
    <w:rsid w:val="78A0407E"/>
    <w:rsid w:val="78B47B29"/>
    <w:rsid w:val="78BD69DE"/>
    <w:rsid w:val="78D36201"/>
    <w:rsid w:val="78E81581"/>
    <w:rsid w:val="78EF46BD"/>
    <w:rsid w:val="78F86174"/>
    <w:rsid w:val="78FC5FD5"/>
    <w:rsid w:val="790463BB"/>
    <w:rsid w:val="790C526F"/>
    <w:rsid w:val="79102FB2"/>
    <w:rsid w:val="79226841"/>
    <w:rsid w:val="79450781"/>
    <w:rsid w:val="794F33AE"/>
    <w:rsid w:val="79764DDF"/>
    <w:rsid w:val="797F1EE5"/>
    <w:rsid w:val="798B088A"/>
    <w:rsid w:val="798C63B0"/>
    <w:rsid w:val="799534B7"/>
    <w:rsid w:val="799D236B"/>
    <w:rsid w:val="79C8563A"/>
    <w:rsid w:val="79D55FA9"/>
    <w:rsid w:val="79F77CCE"/>
    <w:rsid w:val="79FF4DD4"/>
    <w:rsid w:val="7A067F11"/>
    <w:rsid w:val="7A1563A6"/>
    <w:rsid w:val="7A1F0FD2"/>
    <w:rsid w:val="7A262361"/>
    <w:rsid w:val="7A26386C"/>
    <w:rsid w:val="7A2B3E1B"/>
    <w:rsid w:val="7A480529"/>
    <w:rsid w:val="7A545120"/>
    <w:rsid w:val="7A560E98"/>
    <w:rsid w:val="7A590988"/>
    <w:rsid w:val="7A5A025C"/>
    <w:rsid w:val="7A601D17"/>
    <w:rsid w:val="7A6B4218"/>
    <w:rsid w:val="7A756E44"/>
    <w:rsid w:val="7A8D0632"/>
    <w:rsid w:val="7A97325F"/>
    <w:rsid w:val="7AA37E55"/>
    <w:rsid w:val="7AA53BCD"/>
    <w:rsid w:val="7AC8166A"/>
    <w:rsid w:val="7ADD5115"/>
    <w:rsid w:val="7AF1296F"/>
    <w:rsid w:val="7B252618"/>
    <w:rsid w:val="7B362A78"/>
    <w:rsid w:val="7B564EC8"/>
    <w:rsid w:val="7B5B24DE"/>
    <w:rsid w:val="7B62386D"/>
    <w:rsid w:val="7B7D06A6"/>
    <w:rsid w:val="7B86107C"/>
    <w:rsid w:val="7B8C08E9"/>
    <w:rsid w:val="7B986208"/>
    <w:rsid w:val="7BAD0F8C"/>
    <w:rsid w:val="7BB265A2"/>
    <w:rsid w:val="7BB8348D"/>
    <w:rsid w:val="7BBF2A6D"/>
    <w:rsid w:val="7BD36518"/>
    <w:rsid w:val="7C0C5586"/>
    <w:rsid w:val="7C0D1A2A"/>
    <w:rsid w:val="7C15268D"/>
    <w:rsid w:val="7C4116D4"/>
    <w:rsid w:val="7C4E5B9F"/>
    <w:rsid w:val="7C6460A0"/>
    <w:rsid w:val="7C6E40A4"/>
    <w:rsid w:val="7C792C1C"/>
    <w:rsid w:val="7C7B2E38"/>
    <w:rsid w:val="7C81665C"/>
    <w:rsid w:val="7C86358B"/>
    <w:rsid w:val="7C8D2B6B"/>
    <w:rsid w:val="7C991510"/>
    <w:rsid w:val="7CA0289E"/>
    <w:rsid w:val="7CB41EA6"/>
    <w:rsid w:val="7CD9190C"/>
    <w:rsid w:val="7CDD764F"/>
    <w:rsid w:val="7CE64029"/>
    <w:rsid w:val="7CEC7D69"/>
    <w:rsid w:val="7CF84488"/>
    <w:rsid w:val="7CFB5D27"/>
    <w:rsid w:val="7D071A7E"/>
    <w:rsid w:val="7D1943FF"/>
    <w:rsid w:val="7D1D5C9D"/>
    <w:rsid w:val="7D20753B"/>
    <w:rsid w:val="7D511DEB"/>
    <w:rsid w:val="7D6733BC"/>
    <w:rsid w:val="7D7653AD"/>
    <w:rsid w:val="7D853842"/>
    <w:rsid w:val="7DA97531"/>
    <w:rsid w:val="7DB163E5"/>
    <w:rsid w:val="7DC26844"/>
    <w:rsid w:val="7DE762AB"/>
    <w:rsid w:val="7DFC3B04"/>
    <w:rsid w:val="7E0E3838"/>
    <w:rsid w:val="7E24305B"/>
    <w:rsid w:val="7E2D63B4"/>
    <w:rsid w:val="7E2E5C88"/>
    <w:rsid w:val="7E3A462D"/>
    <w:rsid w:val="7E490D14"/>
    <w:rsid w:val="7E68119A"/>
    <w:rsid w:val="7E7062A0"/>
    <w:rsid w:val="7E837D82"/>
    <w:rsid w:val="7E9A50CB"/>
    <w:rsid w:val="7E9B637A"/>
    <w:rsid w:val="7EC565EC"/>
    <w:rsid w:val="7ED56104"/>
    <w:rsid w:val="7ED93E46"/>
    <w:rsid w:val="7EE10F4C"/>
    <w:rsid w:val="7EE27F20"/>
    <w:rsid w:val="7F1906E6"/>
    <w:rsid w:val="7F271055"/>
    <w:rsid w:val="7F2F1CB8"/>
    <w:rsid w:val="7F334C70"/>
    <w:rsid w:val="7F400539"/>
    <w:rsid w:val="7F406F56"/>
    <w:rsid w:val="7F4219EB"/>
    <w:rsid w:val="7F572FBC"/>
    <w:rsid w:val="7F5E434B"/>
    <w:rsid w:val="7F6F47AA"/>
    <w:rsid w:val="7F914720"/>
    <w:rsid w:val="7F9D4E73"/>
    <w:rsid w:val="7FA51F7A"/>
    <w:rsid w:val="7FAF4BA7"/>
    <w:rsid w:val="7FCE7723"/>
    <w:rsid w:val="7FDA60C7"/>
    <w:rsid w:val="7FDB3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99"/>
    <w:rPr>
      <w:color w:val="0000FF"/>
      <w:u w:val="single"/>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38</Pages>
  <Words>20749</Words>
  <Characters>23461</Characters>
  <Lines>185</Lines>
  <Paragraphs>52</Paragraphs>
  <TotalTime>31</TotalTime>
  <ScaleCrop>false</ScaleCrop>
  <LinksUpToDate>false</LinksUpToDate>
  <CharactersWithSpaces>23476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2023-10-12T01:17:00Z</dcterms:created>
  <dc:creator>CY</dc:creator>
  <cp:lastModifiedBy>WPS_1695865774</cp:lastModifiedBy>
  <cp:lastPrinted>2023-10-13T07:47:00Z</cp:lastPrinted>
  <dcterms:modified xsi:type="dcterms:W3CDTF">2023-10-16T08:14:47Z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83E5F432299F42F7B826E73BC4084E47_12</vt:lpwstr>
  </property>
</Properties>
</file>