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36" w:type="dxa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6"/>
        <w:gridCol w:w="720"/>
        <w:gridCol w:w="1006"/>
        <w:gridCol w:w="345"/>
        <w:gridCol w:w="2374"/>
        <w:gridCol w:w="761"/>
        <w:gridCol w:w="793"/>
        <w:gridCol w:w="900"/>
        <w:gridCol w:w="855"/>
        <w:gridCol w:w="507"/>
        <w:gridCol w:w="525"/>
        <w:gridCol w:w="1275"/>
        <w:gridCol w:w="1334"/>
        <w:gridCol w:w="1071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63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2023年三明市教育局选聘教师岗位信息表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具有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初级专业技术职务人员年龄原则上不超过35周岁，具有中级专业技术职务人员原则上不超过40周岁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初级专业技术职务）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具有中级及以上专业技术职务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学士及以上（具有中级及以上专业技术职务不限）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专技人员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具有中级专业技术职务人员原则上不超过40周岁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会计与审计类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具有中级及以上专业技术职务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val="en-US" w:eastAsia="zh-CN"/>
              </w:rPr>
              <w:t>具有会计专业中级及以上职称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饶老师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三明教育学院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财政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专技人员（学前教育教研员）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教育 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副高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及以上专业技术职务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1.具有幼儿教师资格证书；2.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至少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取得县级及以上名师、名校长、学科带头人、骨干教师称号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之一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；3.在教学第一线有6年以上教学经历。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饶老师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年三明市教育局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选聘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教师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233"/>
        <w:gridCol w:w="483"/>
        <w:gridCol w:w="474"/>
        <w:gridCol w:w="81"/>
        <w:gridCol w:w="712"/>
        <w:gridCol w:w="506"/>
        <w:gridCol w:w="25"/>
        <w:gridCol w:w="898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何时何种方式进入事业单位</w:t>
            </w:r>
          </w:p>
        </w:tc>
        <w:tc>
          <w:tcPr>
            <w:tcW w:w="4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8"/>
                <w:szCs w:val="18"/>
                <w:lang w:eastAsia="zh-CN"/>
              </w:rPr>
              <w:t>是否满足最低服务年限或其他约定年限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4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所在单位教育主管部门意见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515286B"/>
    <w:rsid w:val="651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2023-09-19T07:53:00Z</dcterms:created>
  <dc:creator>WPS_1644971829</dc:creator>
  <cp:lastModifiedBy>WPS_1644971829</cp:lastModifiedBy>
  <dcterms:modified xsi:type="dcterms:W3CDTF">2023-09-19T07:54:02Z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CDA259687A5546A9ADBF402AA30E158B_11</vt:lpwstr>
  </property>
</Properties>
</file>