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苏州宿迁工业园区招聘工作人员岗位简介表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7"/>
        <w:tblW w:w="15163" w:type="dxa"/>
        <w:jc w:val="center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33"/>
        <w:gridCol w:w="702"/>
        <w:gridCol w:w="702"/>
        <w:gridCol w:w="702"/>
        <w:gridCol w:w="1619"/>
        <w:gridCol w:w="2397"/>
        <w:gridCol w:w="2699"/>
        <w:gridCol w:w="4111"/>
      </w:tblGrid>
      <w:tr>
        <w:tblPrEx>
          <w:tblLayout w:type="fixed"/>
        </w:tblPrEx>
        <w:trPr>
          <w:trHeight w:val="907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代码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开考比例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户籍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239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</w:tr>
      <w:tr>
        <w:tblPrEx>
          <w:tblLayout w:type="fixed"/>
        </w:tblPrEx>
        <w:trPr>
          <w:trHeight w:val="1134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规划建设局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规划管理处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业务骨干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:3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18周岁以上、35周岁以下</w:t>
            </w:r>
          </w:p>
        </w:tc>
        <w:tc>
          <w:tcPr>
            <w:tcW w:w="239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bookmarkStart w:id="0" w:name="_GoBack"/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双一流建设高校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全日制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本科及以上学历，取得相应学位</w:t>
            </w:r>
            <w:bookmarkEnd w:id="0"/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城乡规划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  <w:lang w:eastAsia="zh-CN"/>
              </w:rPr>
              <w:t>类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本科学历需具有2年及以上从事城市规划管理相关工作经验</w:t>
            </w:r>
          </w:p>
        </w:tc>
      </w:tr>
      <w:tr>
        <w:tblPrEx>
          <w:tblLayout w:type="fixed"/>
        </w:tblPrEx>
        <w:trPr>
          <w:trHeight w:val="1168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招商与经济发展局综合处业务骨干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1:3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18周岁以上、35周岁以下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普通高校研究生以上学历，取得相应学位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中文文秘类、法律类、社会政治类、经济类、商务贸易类、工商管理类、统计类、财务财会类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中共党员（含预备党员）</w:t>
            </w:r>
          </w:p>
        </w:tc>
      </w:tr>
      <w:tr>
        <w:tblPrEx>
          <w:tblLayout w:type="fixed"/>
        </w:tblPrEx>
        <w:trPr>
          <w:trHeight w:val="958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城市管理行政执法大队业务骨干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:3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18周岁以上、35周岁以下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普通高校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本科及以上学历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，取得相应学位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一线执法、男性；</w:t>
            </w:r>
          </w:p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中共党员或具有城管执法工作经验者优先</w:t>
            </w:r>
          </w:p>
        </w:tc>
      </w:tr>
      <w:tr>
        <w:tblPrEx>
          <w:tblLayout w:type="fixed"/>
        </w:tblPrEx>
        <w:trPr>
          <w:trHeight w:val="1129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04</w:t>
            </w:r>
          </w:p>
        </w:tc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国库集中支付中心业务骨干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1:3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不限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18周岁以上、35周岁以下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双一流建设高校全日制本科及以上学历，取得相应学位</w:t>
            </w:r>
          </w:p>
        </w:tc>
        <w:tc>
          <w:tcPr>
            <w:tcW w:w="269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财务财会类、审计类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. 具有中级及以上会计职称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；</w:t>
            </w:r>
          </w:p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. 取得注册会计师资格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的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，不限专业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和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院校。</w:t>
            </w:r>
          </w:p>
        </w:tc>
      </w:tr>
    </w:tbl>
    <w:p>
      <w:pPr/>
    </w:p>
    <w:sectPr>
      <w:pgSz w:w="16838" w:h="11906" w:orient="landscape"/>
      <w:pgMar w:top="113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0</TotalTime>
  <ScaleCrop>false</ScaleCrop>
  <LinksUpToDate>false</LinksUpToDate>
  <CharactersWithSpaces>592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2023-06-26T15:25:00Z</dcterms:created>
  <dc:creator>sd</dc:creator>
  <cp:lastModifiedBy>iPhone</cp:lastModifiedBy>
  <cp:lastPrinted>2023-07-05T18:22:00Z</cp:lastPrinted>
  <dcterms:modified xsi:type="dcterms:W3CDTF">2023-09-08T15:40:35Z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62A8BEA8C4120F34C5CFFA646015C573_32</vt:lpwstr>
  </property>
  <property fmtid="{D5CDD505-2E9C-101B-9397-08002B2CF9AE}" pid="3" name="KSOProductBuildVer">
    <vt:lpwstr>2052-12.2.1</vt:lpwstr>
  </property>
</Properties>
</file>