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6"/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Style w:val="6"/>
          <w:rFonts w:hint="default" w:ascii="Times New Roman" w:hAnsi="Times New Roman" w:eastAsia="方正黑体简体" w:cs="Times New Roman"/>
          <w:color w:val="000000"/>
          <w:sz w:val="32"/>
          <w:szCs w:val="32"/>
        </w:rPr>
        <w:t>附件</w:t>
      </w:r>
    </w:p>
    <w:p>
      <w:pPr>
        <w:spacing w:line="520" w:lineRule="exact"/>
        <w:jc w:val="left"/>
        <w:rPr>
          <w:rStyle w:val="6"/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spacing w:line="520" w:lineRule="exact"/>
        <w:jc w:val="center"/>
        <w:rPr>
          <w:rStyle w:val="6"/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bookmarkStart w:id="0" w:name="_GoBack"/>
      <w:r>
        <w:rPr>
          <w:rStyle w:val="6"/>
          <w:rFonts w:hint="default" w:ascii="Times New Roman" w:hAnsi="Times New Roman" w:eastAsia="方正小标宋简体" w:cs="Times New Roman"/>
          <w:color w:val="000000"/>
          <w:sz w:val="40"/>
          <w:szCs w:val="40"/>
        </w:rPr>
        <w:t>成都市新都区2023年公开考核招聘</w:t>
      </w:r>
    </w:p>
    <w:p>
      <w:pPr>
        <w:spacing w:line="520" w:lineRule="exact"/>
        <w:jc w:val="center"/>
        <w:rPr>
          <w:rStyle w:val="6"/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Style w:val="6"/>
          <w:rFonts w:hint="default" w:ascii="Times New Roman" w:hAnsi="Times New Roman" w:eastAsia="方正小标宋简体" w:cs="Times New Roman"/>
          <w:color w:val="000000"/>
          <w:sz w:val="40"/>
          <w:szCs w:val="40"/>
        </w:rPr>
        <w:t>25名特需人才岗位表</w:t>
      </w:r>
    </w:p>
    <w:bookmarkEnd w:id="0"/>
    <w:p>
      <w:pPr>
        <w:spacing w:line="520" w:lineRule="exact"/>
        <w:jc w:val="left"/>
        <w:rPr>
          <w:rStyle w:val="6"/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</w:p>
    <w:tbl>
      <w:tblPr>
        <w:tblStyle w:val="4"/>
        <w:tblW w:w="9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62"/>
        <w:gridCol w:w="3750"/>
        <w:gridCol w:w="1000"/>
        <w:gridCol w:w="2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名额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1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  <w:t>成都市新都区</w:t>
            </w:r>
            <w:r>
              <w:rPr>
                <w:rStyle w:val="6"/>
                <w:rFonts w:hint="eastAsia" w:eastAsia="方正仿宋简体" w:cs="Times New Roman"/>
                <w:kern w:val="0"/>
                <w:sz w:val="21"/>
                <w:szCs w:val="21"/>
                <w:lang w:eastAsia="zh-CN"/>
              </w:rPr>
              <w:t>区级部门及镇街下属事业单位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  <w:t>产业发展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  <w:t>信息与通信工程、计算机科学与技术、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  <w:t>航空宇航科学与技术、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  <w:t>软件工程、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  <w:t>能源动力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  <w:t>农学、林学、农林经济管理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  <w:t>1.国内外普通高等院校研究生学历，取得硕士或博士学位；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  <w:t>2.硕士研究生年龄不超过30周岁（1993年1月1日及以后出生），博士研究生年龄不超过35周岁（1988年1月1日及以后出生）。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  <w:t>城建规划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Style w:val="6"/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  <w:t>土木工程、环境科学与工程、城乡规划学、土木水利</w:t>
            </w:r>
            <w:r>
              <w:rPr>
                <w:rStyle w:val="6"/>
                <w:rFonts w:hint="eastAsia" w:eastAsia="方正仿宋简体" w:cs="Times New Roman"/>
                <w:kern w:val="0"/>
                <w:sz w:val="21"/>
                <w:szCs w:val="21"/>
                <w:lang w:eastAsia="zh-CN"/>
              </w:rPr>
              <w:t>、管理科学与工程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eastAsia="方正仿宋简体" w:cs="Times New Roman"/>
                <w:kern w:val="0"/>
                <w:sz w:val="21"/>
                <w:szCs w:val="21"/>
                <w:lang w:eastAsia="zh-CN"/>
              </w:rPr>
              <w:t>综合管理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  <w:t>应用经济学、金融、法学、法律、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  <w:t>中国语言文学、新闻传播学、新闻与传播、英语口译</w:t>
            </w:r>
            <w:r>
              <w:rPr>
                <w:rStyle w:val="6"/>
                <w:rFonts w:hint="eastAsia" w:eastAsia="方正仿宋简体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</w:rPr>
              <w:t>会计、审计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  <w:t>合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注</w:t>
      </w:r>
      <w:r>
        <w:rPr>
          <w:rFonts w:hint="default" w:ascii="Times New Roman" w:hAnsi="Times New Roman" w:eastAsia="仿宋_GB2312" w:cs="Times New Roman"/>
          <w:color w:val="000000"/>
          <w:spacing w:val="-20"/>
          <w:sz w:val="24"/>
          <w:szCs w:val="24"/>
        </w:rPr>
        <w:t>：“岗位类别”仅代表岗位名称。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C3267"/>
    <w:rsid w:val="5EE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widowControl w:val="0"/>
    </w:pPr>
    <w:rPr>
      <w:rFonts w:ascii="Calibri" w:hAnsi="Calibri" w:eastAsia="宋体" w:cs="Times New Roman"/>
      <w:kern w:val="2"/>
      <w:sz w:val="21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2023-08-30T08:58:00Z</dcterms:created>
  <dc:creator>Administrator</dc:creator>
  <cp:lastModifiedBy>Administrator</cp:lastModifiedBy>
  <dcterms:modified xsi:type="dcterms:W3CDTF">2023-08-30T08:59:09Z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