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520" w:lineRule="exact"/>
        <w:jc w:val="center"/>
        <w:rPr>
          <w:rFonts w:ascii="华文仿宋" w:hAnsi="华文仿宋" w:eastAsia="华文仿宋" w:cs="华文仿宋"/>
          <w:b/>
          <w:w w:val="85"/>
          <w:kern w:val="0"/>
          <w:sz w:val="44"/>
          <w:szCs w:val="44"/>
          <w:highlight w:val="none"/>
        </w:rPr>
      </w:pPr>
      <w:bookmarkStart w:id="0" w:name="_Toc6286_WPSOffice_Level1"/>
      <w:r>
        <w:rPr>
          <w:rFonts w:hint="eastAsia" w:ascii="华文仿宋" w:hAnsi="华文仿宋" w:eastAsia="华文仿宋" w:cs="华文仿宋"/>
          <w:b/>
          <w:w w:val="85"/>
          <w:kern w:val="0"/>
          <w:sz w:val="44"/>
          <w:szCs w:val="44"/>
          <w:highlight w:val="none"/>
        </w:rPr>
        <w:t>复旦大学附属肿瘤医院厦门医院</w:t>
      </w:r>
    </w:p>
    <w:p>
      <w:pPr>
        <w:spacing w:line="520" w:lineRule="exact"/>
        <w:jc w:val="center"/>
        <w:outlineLvl w:val="0"/>
        <w:rPr>
          <w:rFonts w:ascii="华文仿宋" w:hAnsi="华文仿宋" w:eastAsia="华文仿宋" w:cs="华文仿宋"/>
          <w:b/>
          <w:w w:val="85"/>
          <w:kern w:val="0"/>
          <w:sz w:val="44"/>
          <w:szCs w:val="44"/>
          <w:highlight w:val="none"/>
        </w:rPr>
      </w:pPr>
      <w:bookmarkStart w:id="1" w:name="_Toc11640"/>
      <w:r>
        <w:rPr>
          <w:rFonts w:hint="eastAsia" w:ascii="华文仿宋" w:hAnsi="华文仿宋" w:eastAsia="华文仿宋" w:cs="华文仿宋"/>
          <w:b/>
          <w:w w:val="85"/>
          <w:kern w:val="0"/>
          <w:sz w:val="44"/>
          <w:szCs w:val="44"/>
          <w:highlight w:val="none"/>
        </w:rPr>
        <w:t>补充工作人员</w:t>
      </w:r>
      <w:bookmarkEnd w:id="0"/>
      <w:r>
        <w:rPr>
          <w:rFonts w:hint="eastAsia" w:ascii="华文仿宋" w:hAnsi="华文仿宋" w:eastAsia="华文仿宋" w:cs="华文仿宋"/>
          <w:b/>
          <w:w w:val="85"/>
          <w:kern w:val="0"/>
          <w:sz w:val="44"/>
          <w:szCs w:val="44"/>
          <w:highlight w:val="none"/>
        </w:rPr>
        <w:t>招聘</w:t>
      </w:r>
      <w:bookmarkStart w:id="307" w:name="_GoBack"/>
      <w:bookmarkEnd w:id="307"/>
      <w:r>
        <w:rPr>
          <w:rFonts w:hint="eastAsia" w:ascii="华文仿宋" w:hAnsi="华文仿宋" w:eastAsia="华文仿宋" w:cs="华文仿宋"/>
          <w:b/>
          <w:w w:val="85"/>
          <w:kern w:val="0"/>
          <w:sz w:val="44"/>
          <w:szCs w:val="44"/>
          <w:highlight w:val="none"/>
        </w:rPr>
        <w:t>简章（2023年</w:t>
      </w:r>
      <w:r>
        <w:rPr>
          <w:rFonts w:hint="eastAsia" w:ascii="华文仿宋" w:hAnsi="华文仿宋" w:eastAsia="华文仿宋" w:cs="华文仿宋"/>
          <w:b/>
          <w:color w:val="auto"/>
          <w:w w:val="85"/>
          <w:kern w:val="0"/>
          <w:sz w:val="44"/>
          <w:szCs w:val="44"/>
          <w:highlight w:val="none"/>
        </w:rPr>
        <w:t>8月</w:t>
      </w:r>
      <w:r>
        <w:rPr>
          <w:rFonts w:hint="eastAsia" w:ascii="华文仿宋" w:hAnsi="华文仿宋" w:eastAsia="华文仿宋" w:cs="华文仿宋"/>
          <w:b/>
          <w:w w:val="85"/>
          <w:kern w:val="0"/>
          <w:sz w:val="44"/>
          <w:szCs w:val="44"/>
          <w:highlight w:val="none"/>
        </w:rPr>
        <w:t>）</w:t>
      </w:r>
      <w:bookmarkEnd w:id="1"/>
    </w:p>
    <w:p>
      <w:pPr>
        <w:spacing w:line="520" w:lineRule="exact"/>
        <w:jc w:val="center"/>
        <w:rPr>
          <w:rFonts w:ascii="华文仿宋" w:hAnsi="华文仿宋" w:eastAsia="华文仿宋" w:cs="华文仿宋"/>
          <w:sz w:val="24"/>
          <w:szCs w:val="24"/>
          <w:highlight w:val="none"/>
        </w:rPr>
      </w:pPr>
      <w:r>
        <w:rPr>
          <w:rFonts w:hint="eastAsia" w:ascii="华文仿宋" w:hAnsi="华文仿宋" w:eastAsia="华文仿宋" w:cs="华文仿宋"/>
          <w:sz w:val="32"/>
          <w:szCs w:val="32"/>
          <w:highlight w:val="none"/>
        </w:rPr>
        <w:t>目录</w:t>
      </w:r>
    </w:p>
    <w:p>
      <w:pPr>
        <w:pStyle w:val="23"/>
        <w:tabs>
          <w:tab w:val="right" w:leader="dot" w:pos="8306"/>
        </w:tabs>
        <w:spacing w:line="520" w:lineRule="exact"/>
        <w:rPr>
          <w:rFonts w:ascii="华文仿宋" w:hAnsi="华文仿宋" w:eastAsia="华文仿宋" w:cs="华文仿宋"/>
          <w:sz w:val="24"/>
          <w:szCs w:val="24"/>
          <w:highlight w:val="none"/>
        </w:rPr>
      </w:pPr>
      <w:r>
        <w:rPr>
          <w:rFonts w:hint="eastAsia" w:ascii="华文仿宋" w:hAnsi="华文仿宋" w:eastAsia="华文仿宋" w:cs="华文仿宋"/>
          <w:sz w:val="24"/>
          <w:szCs w:val="24"/>
          <w:highlight w:val="none"/>
        </w:rPr>
        <w:fldChar w:fldCharType="begin"/>
      </w:r>
      <w:r>
        <w:rPr>
          <w:rFonts w:hint="eastAsia" w:ascii="华文仿宋" w:hAnsi="华文仿宋" w:eastAsia="华文仿宋" w:cs="华文仿宋"/>
          <w:sz w:val="24"/>
          <w:szCs w:val="24"/>
          <w:highlight w:val="none"/>
        </w:rPr>
        <w:instrText xml:space="preserve">TOC \o "1-2" \h \u </w:instrText>
      </w:r>
      <w:r>
        <w:rPr>
          <w:rFonts w:hint="eastAsia" w:ascii="华文仿宋" w:hAnsi="华文仿宋" w:eastAsia="华文仿宋" w:cs="华文仿宋"/>
          <w:sz w:val="24"/>
          <w:szCs w:val="24"/>
          <w:highlight w:val="none"/>
        </w:rPr>
        <w:fldChar w:fldCharType="separate"/>
      </w:r>
      <w:r>
        <w:rPr>
          <w:highlight w:val="none"/>
        </w:rPr>
        <w:fldChar w:fldCharType="begin"/>
      </w:r>
      <w:r>
        <w:rPr>
          <w:highlight w:val="none"/>
        </w:rPr>
        <w:instrText xml:space="preserve"> HYPERLINK \l "_Toc151" </w:instrText>
      </w:r>
      <w:r>
        <w:rPr>
          <w:highlight w:val="none"/>
        </w:rPr>
        <w:fldChar w:fldCharType="separate"/>
      </w:r>
      <w:r>
        <w:rPr>
          <w:rFonts w:hint="eastAsia" w:ascii="华文仿宋" w:hAnsi="华文仿宋" w:eastAsia="华文仿宋" w:cs="华文仿宋"/>
          <w:sz w:val="24"/>
          <w:szCs w:val="24"/>
          <w:highlight w:val="none"/>
        </w:rPr>
        <w:t>一、基本条件</w:t>
      </w:r>
      <w:r>
        <w:rPr>
          <w:rFonts w:hint="eastAsia" w:ascii="华文仿宋" w:hAnsi="华文仿宋" w:eastAsia="华文仿宋" w:cs="华文仿宋"/>
          <w:sz w:val="24"/>
          <w:szCs w:val="24"/>
          <w:highlight w:val="none"/>
        </w:rPr>
        <w:tab/>
      </w:r>
      <w:r>
        <w:rPr>
          <w:rFonts w:hint="eastAsia" w:ascii="华文仿宋" w:hAnsi="华文仿宋" w:eastAsia="华文仿宋" w:cs="华文仿宋"/>
          <w:sz w:val="24"/>
          <w:szCs w:val="24"/>
          <w:highlight w:val="none"/>
        </w:rPr>
        <w:fldChar w:fldCharType="begin"/>
      </w:r>
      <w:r>
        <w:rPr>
          <w:rFonts w:hint="eastAsia" w:ascii="华文仿宋" w:hAnsi="华文仿宋" w:eastAsia="华文仿宋" w:cs="华文仿宋"/>
          <w:sz w:val="24"/>
          <w:szCs w:val="24"/>
          <w:highlight w:val="none"/>
        </w:rPr>
        <w:instrText xml:space="preserve"> PAGEREF _Toc151 \h </w:instrText>
      </w:r>
      <w:r>
        <w:rPr>
          <w:rFonts w:hint="eastAsia" w:ascii="华文仿宋" w:hAnsi="华文仿宋" w:eastAsia="华文仿宋" w:cs="华文仿宋"/>
          <w:sz w:val="24"/>
          <w:szCs w:val="24"/>
          <w:highlight w:val="none"/>
        </w:rPr>
        <w:fldChar w:fldCharType="separate"/>
      </w:r>
      <w:r>
        <w:rPr>
          <w:rFonts w:hint="eastAsia" w:ascii="华文仿宋" w:hAnsi="华文仿宋" w:eastAsia="华文仿宋" w:cs="华文仿宋"/>
          <w:sz w:val="24"/>
          <w:szCs w:val="24"/>
          <w:highlight w:val="none"/>
        </w:rPr>
        <w:t>1</w:t>
      </w:r>
      <w:r>
        <w:rPr>
          <w:rFonts w:hint="eastAsia" w:ascii="华文仿宋" w:hAnsi="华文仿宋" w:eastAsia="华文仿宋" w:cs="华文仿宋"/>
          <w:sz w:val="24"/>
          <w:szCs w:val="24"/>
          <w:highlight w:val="none"/>
        </w:rPr>
        <w:fldChar w:fldCharType="end"/>
      </w:r>
      <w:r>
        <w:rPr>
          <w:rFonts w:hint="eastAsia" w:ascii="华文仿宋" w:hAnsi="华文仿宋" w:eastAsia="华文仿宋" w:cs="华文仿宋"/>
          <w:sz w:val="24"/>
          <w:szCs w:val="24"/>
          <w:highlight w:val="none"/>
        </w:rPr>
        <w:fldChar w:fldCharType="end"/>
      </w:r>
    </w:p>
    <w:p>
      <w:pPr>
        <w:pStyle w:val="23"/>
        <w:tabs>
          <w:tab w:val="right" w:leader="dot" w:pos="8306"/>
        </w:tabs>
        <w:spacing w:line="520" w:lineRule="exact"/>
        <w:rPr>
          <w:rFonts w:ascii="华文仿宋" w:hAnsi="华文仿宋" w:eastAsia="华文仿宋" w:cs="华文仿宋"/>
          <w:sz w:val="24"/>
          <w:szCs w:val="24"/>
          <w:highlight w:val="none"/>
        </w:rPr>
      </w:pPr>
      <w:r>
        <w:rPr>
          <w:highlight w:val="none"/>
        </w:rPr>
        <w:fldChar w:fldCharType="begin"/>
      </w:r>
      <w:r>
        <w:rPr>
          <w:highlight w:val="none"/>
        </w:rPr>
        <w:instrText xml:space="preserve"> HYPERLINK \l "_Toc32348" </w:instrText>
      </w:r>
      <w:r>
        <w:rPr>
          <w:highlight w:val="none"/>
        </w:rPr>
        <w:fldChar w:fldCharType="separate"/>
      </w:r>
      <w:r>
        <w:rPr>
          <w:rFonts w:hint="eastAsia" w:ascii="华文仿宋" w:hAnsi="华文仿宋" w:eastAsia="华文仿宋" w:cs="华文仿宋"/>
          <w:sz w:val="24"/>
          <w:szCs w:val="24"/>
          <w:highlight w:val="none"/>
        </w:rPr>
        <w:t>二、不得报考或取消报考（聘用）资格的情形</w:t>
      </w:r>
      <w:r>
        <w:rPr>
          <w:rFonts w:hint="eastAsia" w:ascii="华文仿宋" w:hAnsi="华文仿宋" w:eastAsia="华文仿宋" w:cs="华文仿宋"/>
          <w:sz w:val="24"/>
          <w:szCs w:val="24"/>
          <w:highlight w:val="none"/>
        </w:rPr>
        <w:tab/>
      </w:r>
      <w:r>
        <w:rPr>
          <w:rFonts w:hint="eastAsia" w:ascii="华文仿宋" w:hAnsi="华文仿宋" w:eastAsia="华文仿宋" w:cs="华文仿宋"/>
          <w:sz w:val="24"/>
          <w:szCs w:val="24"/>
          <w:highlight w:val="none"/>
        </w:rPr>
        <w:fldChar w:fldCharType="begin"/>
      </w:r>
      <w:r>
        <w:rPr>
          <w:rFonts w:hint="eastAsia" w:ascii="华文仿宋" w:hAnsi="华文仿宋" w:eastAsia="华文仿宋" w:cs="华文仿宋"/>
          <w:sz w:val="24"/>
          <w:szCs w:val="24"/>
          <w:highlight w:val="none"/>
        </w:rPr>
        <w:instrText xml:space="preserve"> PAGEREF _Toc32348 \h </w:instrText>
      </w:r>
      <w:r>
        <w:rPr>
          <w:rFonts w:hint="eastAsia" w:ascii="华文仿宋" w:hAnsi="华文仿宋" w:eastAsia="华文仿宋" w:cs="华文仿宋"/>
          <w:sz w:val="24"/>
          <w:szCs w:val="24"/>
          <w:highlight w:val="none"/>
        </w:rPr>
        <w:fldChar w:fldCharType="separate"/>
      </w:r>
      <w:r>
        <w:rPr>
          <w:rFonts w:hint="eastAsia" w:ascii="华文仿宋" w:hAnsi="华文仿宋" w:eastAsia="华文仿宋" w:cs="华文仿宋"/>
          <w:sz w:val="24"/>
          <w:szCs w:val="24"/>
          <w:highlight w:val="none"/>
        </w:rPr>
        <w:t>1</w:t>
      </w:r>
      <w:r>
        <w:rPr>
          <w:rFonts w:hint="eastAsia" w:ascii="华文仿宋" w:hAnsi="华文仿宋" w:eastAsia="华文仿宋" w:cs="华文仿宋"/>
          <w:sz w:val="24"/>
          <w:szCs w:val="24"/>
          <w:highlight w:val="none"/>
        </w:rPr>
        <w:fldChar w:fldCharType="end"/>
      </w:r>
      <w:r>
        <w:rPr>
          <w:rFonts w:hint="eastAsia" w:ascii="华文仿宋" w:hAnsi="华文仿宋" w:eastAsia="华文仿宋" w:cs="华文仿宋"/>
          <w:sz w:val="24"/>
          <w:szCs w:val="24"/>
          <w:highlight w:val="none"/>
        </w:rPr>
        <w:fldChar w:fldCharType="end"/>
      </w:r>
    </w:p>
    <w:p>
      <w:pPr>
        <w:pStyle w:val="23"/>
        <w:tabs>
          <w:tab w:val="right" w:leader="dot" w:pos="8306"/>
        </w:tabs>
        <w:spacing w:line="520" w:lineRule="exact"/>
        <w:rPr>
          <w:rFonts w:ascii="华文仿宋" w:hAnsi="华文仿宋" w:eastAsia="华文仿宋" w:cs="华文仿宋"/>
          <w:sz w:val="24"/>
          <w:szCs w:val="24"/>
          <w:highlight w:val="none"/>
        </w:rPr>
      </w:pPr>
      <w:r>
        <w:rPr>
          <w:highlight w:val="none"/>
        </w:rPr>
        <w:fldChar w:fldCharType="begin"/>
      </w:r>
      <w:r>
        <w:rPr>
          <w:highlight w:val="none"/>
        </w:rPr>
        <w:instrText xml:space="preserve"> HYPERLINK \l "_Toc15808" </w:instrText>
      </w:r>
      <w:r>
        <w:rPr>
          <w:highlight w:val="none"/>
        </w:rPr>
        <w:fldChar w:fldCharType="separate"/>
      </w:r>
      <w:r>
        <w:rPr>
          <w:rFonts w:hint="eastAsia" w:ascii="华文仿宋" w:hAnsi="华文仿宋" w:eastAsia="华文仿宋" w:cs="华文仿宋"/>
          <w:sz w:val="24"/>
          <w:szCs w:val="24"/>
          <w:highlight w:val="none"/>
        </w:rPr>
        <w:t>三、选报岗位须知</w:t>
      </w:r>
      <w:r>
        <w:rPr>
          <w:rFonts w:hint="eastAsia" w:ascii="华文仿宋" w:hAnsi="华文仿宋" w:eastAsia="华文仿宋" w:cs="华文仿宋"/>
          <w:sz w:val="24"/>
          <w:szCs w:val="24"/>
          <w:highlight w:val="none"/>
        </w:rPr>
        <w:tab/>
      </w:r>
      <w:r>
        <w:rPr>
          <w:rFonts w:hint="eastAsia" w:ascii="华文仿宋" w:hAnsi="华文仿宋" w:eastAsia="华文仿宋" w:cs="华文仿宋"/>
          <w:sz w:val="24"/>
          <w:szCs w:val="24"/>
          <w:highlight w:val="none"/>
        </w:rPr>
        <w:fldChar w:fldCharType="begin"/>
      </w:r>
      <w:r>
        <w:rPr>
          <w:rFonts w:hint="eastAsia" w:ascii="华文仿宋" w:hAnsi="华文仿宋" w:eastAsia="华文仿宋" w:cs="华文仿宋"/>
          <w:sz w:val="24"/>
          <w:szCs w:val="24"/>
          <w:highlight w:val="none"/>
        </w:rPr>
        <w:instrText xml:space="preserve"> PAGEREF _Toc15808 \h </w:instrText>
      </w:r>
      <w:r>
        <w:rPr>
          <w:rFonts w:hint="eastAsia" w:ascii="华文仿宋" w:hAnsi="华文仿宋" w:eastAsia="华文仿宋" w:cs="华文仿宋"/>
          <w:sz w:val="24"/>
          <w:szCs w:val="24"/>
          <w:highlight w:val="none"/>
        </w:rPr>
        <w:fldChar w:fldCharType="separate"/>
      </w:r>
      <w:r>
        <w:rPr>
          <w:rFonts w:hint="eastAsia" w:ascii="华文仿宋" w:hAnsi="华文仿宋" w:eastAsia="华文仿宋" w:cs="华文仿宋"/>
          <w:sz w:val="24"/>
          <w:szCs w:val="24"/>
          <w:highlight w:val="none"/>
        </w:rPr>
        <w:t>1</w:t>
      </w:r>
      <w:r>
        <w:rPr>
          <w:rFonts w:hint="eastAsia" w:ascii="华文仿宋" w:hAnsi="华文仿宋" w:eastAsia="华文仿宋" w:cs="华文仿宋"/>
          <w:sz w:val="24"/>
          <w:szCs w:val="24"/>
          <w:highlight w:val="none"/>
        </w:rPr>
        <w:fldChar w:fldCharType="end"/>
      </w:r>
      <w:r>
        <w:rPr>
          <w:rFonts w:hint="eastAsia" w:ascii="华文仿宋" w:hAnsi="华文仿宋" w:eastAsia="华文仿宋" w:cs="华文仿宋"/>
          <w:sz w:val="24"/>
          <w:szCs w:val="24"/>
          <w:highlight w:val="none"/>
        </w:rPr>
        <w:fldChar w:fldCharType="end"/>
      </w:r>
    </w:p>
    <w:p>
      <w:pPr>
        <w:pStyle w:val="23"/>
        <w:tabs>
          <w:tab w:val="right" w:leader="dot" w:pos="8306"/>
        </w:tabs>
        <w:spacing w:line="520" w:lineRule="exact"/>
        <w:rPr>
          <w:rFonts w:ascii="华文仿宋" w:hAnsi="华文仿宋" w:eastAsia="华文仿宋" w:cs="华文仿宋"/>
          <w:sz w:val="24"/>
          <w:szCs w:val="24"/>
          <w:highlight w:val="none"/>
        </w:rPr>
      </w:pPr>
      <w:r>
        <w:rPr>
          <w:highlight w:val="none"/>
        </w:rPr>
        <w:fldChar w:fldCharType="begin"/>
      </w:r>
      <w:r>
        <w:rPr>
          <w:highlight w:val="none"/>
        </w:rPr>
        <w:instrText xml:space="preserve"> HYPERLINK \l "_Toc9644" </w:instrText>
      </w:r>
      <w:r>
        <w:rPr>
          <w:highlight w:val="none"/>
        </w:rPr>
        <w:fldChar w:fldCharType="separate"/>
      </w:r>
      <w:r>
        <w:rPr>
          <w:rFonts w:hint="eastAsia" w:ascii="华文仿宋" w:hAnsi="华文仿宋" w:eastAsia="华文仿宋" w:cs="华文仿宋"/>
          <w:sz w:val="24"/>
          <w:szCs w:val="24"/>
          <w:highlight w:val="none"/>
        </w:rPr>
        <w:t>四、年龄、资格（历）等的计算办法</w:t>
      </w:r>
      <w:r>
        <w:rPr>
          <w:rFonts w:hint="eastAsia" w:ascii="华文仿宋" w:hAnsi="华文仿宋" w:eastAsia="华文仿宋" w:cs="华文仿宋"/>
          <w:sz w:val="24"/>
          <w:szCs w:val="24"/>
          <w:highlight w:val="none"/>
        </w:rPr>
        <w:tab/>
      </w:r>
      <w:r>
        <w:rPr>
          <w:rFonts w:hint="eastAsia" w:ascii="华文仿宋" w:hAnsi="华文仿宋" w:eastAsia="华文仿宋" w:cs="华文仿宋"/>
          <w:sz w:val="24"/>
          <w:szCs w:val="24"/>
          <w:highlight w:val="none"/>
        </w:rPr>
        <w:fldChar w:fldCharType="begin"/>
      </w:r>
      <w:r>
        <w:rPr>
          <w:rFonts w:hint="eastAsia" w:ascii="华文仿宋" w:hAnsi="华文仿宋" w:eastAsia="华文仿宋" w:cs="华文仿宋"/>
          <w:sz w:val="24"/>
          <w:szCs w:val="24"/>
          <w:highlight w:val="none"/>
        </w:rPr>
        <w:instrText xml:space="preserve"> PAGEREF _Toc9644 \h </w:instrText>
      </w:r>
      <w:r>
        <w:rPr>
          <w:rFonts w:hint="eastAsia" w:ascii="华文仿宋" w:hAnsi="华文仿宋" w:eastAsia="华文仿宋" w:cs="华文仿宋"/>
          <w:sz w:val="24"/>
          <w:szCs w:val="24"/>
          <w:highlight w:val="none"/>
        </w:rPr>
        <w:fldChar w:fldCharType="separate"/>
      </w:r>
      <w:r>
        <w:rPr>
          <w:rFonts w:hint="eastAsia" w:ascii="华文仿宋" w:hAnsi="华文仿宋" w:eastAsia="华文仿宋" w:cs="华文仿宋"/>
          <w:sz w:val="24"/>
          <w:szCs w:val="24"/>
          <w:highlight w:val="none"/>
        </w:rPr>
        <w:t>3</w:t>
      </w:r>
      <w:r>
        <w:rPr>
          <w:rFonts w:hint="eastAsia" w:ascii="华文仿宋" w:hAnsi="华文仿宋" w:eastAsia="华文仿宋" w:cs="华文仿宋"/>
          <w:sz w:val="24"/>
          <w:szCs w:val="24"/>
          <w:highlight w:val="none"/>
        </w:rPr>
        <w:fldChar w:fldCharType="end"/>
      </w:r>
      <w:r>
        <w:rPr>
          <w:rFonts w:hint="eastAsia" w:ascii="华文仿宋" w:hAnsi="华文仿宋" w:eastAsia="华文仿宋" w:cs="华文仿宋"/>
          <w:sz w:val="24"/>
          <w:szCs w:val="24"/>
          <w:highlight w:val="none"/>
        </w:rPr>
        <w:fldChar w:fldCharType="end"/>
      </w:r>
    </w:p>
    <w:p>
      <w:pPr>
        <w:pStyle w:val="23"/>
        <w:tabs>
          <w:tab w:val="right" w:leader="dot" w:pos="8306"/>
        </w:tabs>
        <w:spacing w:line="520" w:lineRule="exact"/>
        <w:rPr>
          <w:rFonts w:ascii="华文仿宋" w:hAnsi="华文仿宋" w:eastAsia="华文仿宋" w:cs="华文仿宋"/>
          <w:sz w:val="24"/>
          <w:szCs w:val="24"/>
          <w:highlight w:val="none"/>
        </w:rPr>
      </w:pPr>
      <w:r>
        <w:rPr>
          <w:highlight w:val="none"/>
        </w:rPr>
        <w:fldChar w:fldCharType="begin"/>
      </w:r>
      <w:r>
        <w:rPr>
          <w:highlight w:val="none"/>
        </w:rPr>
        <w:instrText xml:space="preserve"> HYPERLINK \l "_Toc1966" </w:instrText>
      </w:r>
      <w:r>
        <w:rPr>
          <w:highlight w:val="none"/>
        </w:rPr>
        <w:fldChar w:fldCharType="separate"/>
      </w:r>
      <w:r>
        <w:rPr>
          <w:rFonts w:hint="eastAsia" w:ascii="华文仿宋" w:hAnsi="华文仿宋" w:eastAsia="华文仿宋" w:cs="华文仿宋"/>
          <w:sz w:val="24"/>
          <w:szCs w:val="24"/>
          <w:highlight w:val="none"/>
        </w:rPr>
        <w:t>五、学历（位）认定</w:t>
      </w:r>
      <w:r>
        <w:rPr>
          <w:rFonts w:hint="eastAsia" w:ascii="华文仿宋" w:hAnsi="华文仿宋" w:eastAsia="华文仿宋" w:cs="华文仿宋"/>
          <w:sz w:val="24"/>
          <w:szCs w:val="24"/>
          <w:highlight w:val="none"/>
        </w:rPr>
        <w:tab/>
      </w:r>
      <w:r>
        <w:rPr>
          <w:rFonts w:hint="eastAsia" w:ascii="华文仿宋" w:hAnsi="华文仿宋" w:eastAsia="华文仿宋" w:cs="华文仿宋"/>
          <w:sz w:val="24"/>
          <w:szCs w:val="24"/>
          <w:highlight w:val="none"/>
        </w:rPr>
        <w:fldChar w:fldCharType="begin"/>
      </w:r>
      <w:r>
        <w:rPr>
          <w:rFonts w:hint="eastAsia" w:ascii="华文仿宋" w:hAnsi="华文仿宋" w:eastAsia="华文仿宋" w:cs="华文仿宋"/>
          <w:sz w:val="24"/>
          <w:szCs w:val="24"/>
          <w:highlight w:val="none"/>
        </w:rPr>
        <w:instrText xml:space="preserve"> PAGEREF _Toc1966 \h </w:instrText>
      </w:r>
      <w:r>
        <w:rPr>
          <w:rFonts w:hint="eastAsia" w:ascii="华文仿宋" w:hAnsi="华文仿宋" w:eastAsia="华文仿宋" w:cs="华文仿宋"/>
          <w:sz w:val="24"/>
          <w:szCs w:val="24"/>
          <w:highlight w:val="none"/>
        </w:rPr>
        <w:fldChar w:fldCharType="separate"/>
      </w:r>
      <w:r>
        <w:rPr>
          <w:rFonts w:hint="eastAsia" w:ascii="华文仿宋" w:hAnsi="华文仿宋" w:eastAsia="华文仿宋" w:cs="华文仿宋"/>
          <w:sz w:val="24"/>
          <w:szCs w:val="24"/>
          <w:highlight w:val="none"/>
        </w:rPr>
        <w:t>3</w:t>
      </w:r>
      <w:r>
        <w:rPr>
          <w:rFonts w:hint="eastAsia" w:ascii="华文仿宋" w:hAnsi="华文仿宋" w:eastAsia="华文仿宋" w:cs="华文仿宋"/>
          <w:sz w:val="24"/>
          <w:szCs w:val="24"/>
          <w:highlight w:val="none"/>
        </w:rPr>
        <w:fldChar w:fldCharType="end"/>
      </w:r>
      <w:r>
        <w:rPr>
          <w:rFonts w:hint="eastAsia" w:ascii="华文仿宋" w:hAnsi="华文仿宋" w:eastAsia="华文仿宋" w:cs="华文仿宋"/>
          <w:sz w:val="24"/>
          <w:szCs w:val="24"/>
          <w:highlight w:val="none"/>
        </w:rPr>
        <w:fldChar w:fldCharType="end"/>
      </w:r>
    </w:p>
    <w:p>
      <w:pPr>
        <w:pStyle w:val="23"/>
        <w:tabs>
          <w:tab w:val="right" w:leader="dot" w:pos="8306"/>
        </w:tabs>
        <w:spacing w:line="520" w:lineRule="exact"/>
        <w:rPr>
          <w:rFonts w:ascii="华文仿宋" w:hAnsi="华文仿宋" w:eastAsia="华文仿宋" w:cs="华文仿宋"/>
          <w:sz w:val="24"/>
          <w:szCs w:val="24"/>
          <w:highlight w:val="none"/>
        </w:rPr>
      </w:pPr>
      <w:r>
        <w:rPr>
          <w:highlight w:val="none"/>
        </w:rPr>
        <w:fldChar w:fldCharType="begin"/>
      </w:r>
      <w:r>
        <w:rPr>
          <w:highlight w:val="none"/>
        </w:rPr>
        <w:instrText xml:space="preserve"> HYPERLINK \l "_Toc17142" </w:instrText>
      </w:r>
      <w:r>
        <w:rPr>
          <w:highlight w:val="none"/>
        </w:rPr>
        <w:fldChar w:fldCharType="separate"/>
      </w:r>
      <w:r>
        <w:rPr>
          <w:rFonts w:hint="eastAsia" w:ascii="华文仿宋" w:hAnsi="华文仿宋" w:eastAsia="华文仿宋" w:cs="华文仿宋"/>
          <w:sz w:val="24"/>
          <w:szCs w:val="24"/>
          <w:highlight w:val="none"/>
        </w:rPr>
        <w:t>六、专业认定</w:t>
      </w:r>
      <w:r>
        <w:rPr>
          <w:rFonts w:hint="eastAsia" w:ascii="华文仿宋" w:hAnsi="华文仿宋" w:eastAsia="华文仿宋" w:cs="华文仿宋"/>
          <w:sz w:val="24"/>
          <w:szCs w:val="24"/>
          <w:highlight w:val="none"/>
        </w:rPr>
        <w:tab/>
      </w:r>
      <w:r>
        <w:rPr>
          <w:rFonts w:hint="eastAsia" w:ascii="华文仿宋" w:hAnsi="华文仿宋" w:eastAsia="华文仿宋" w:cs="华文仿宋"/>
          <w:sz w:val="24"/>
          <w:szCs w:val="24"/>
          <w:highlight w:val="none"/>
        </w:rPr>
        <w:fldChar w:fldCharType="begin"/>
      </w:r>
      <w:r>
        <w:rPr>
          <w:rFonts w:hint="eastAsia" w:ascii="华文仿宋" w:hAnsi="华文仿宋" w:eastAsia="华文仿宋" w:cs="华文仿宋"/>
          <w:sz w:val="24"/>
          <w:szCs w:val="24"/>
          <w:highlight w:val="none"/>
        </w:rPr>
        <w:instrText xml:space="preserve"> PAGEREF _Toc17142 \h </w:instrText>
      </w:r>
      <w:r>
        <w:rPr>
          <w:rFonts w:hint="eastAsia" w:ascii="华文仿宋" w:hAnsi="华文仿宋" w:eastAsia="华文仿宋" w:cs="华文仿宋"/>
          <w:sz w:val="24"/>
          <w:szCs w:val="24"/>
          <w:highlight w:val="none"/>
        </w:rPr>
        <w:fldChar w:fldCharType="separate"/>
      </w:r>
      <w:r>
        <w:rPr>
          <w:rFonts w:hint="eastAsia" w:ascii="华文仿宋" w:hAnsi="华文仿宋" w:eastAsia="华文仿宋" w:cs="华文仿宋"/>
          <w:sz w:val="24"/>
          <w:szCs w:val="24"/>
          <w:highlight w:val="none"/>
        </w:rPr>
        <w:t>5</w:t>
      </w:r>
      <w:r>
        <w:rPr>
          <w:rFonts w:hint="eastAsia" w:ascii="华文仿宋" w:hAnsi="华文仿宋" w:eastAsia="华文仿宋" w:cs="华文仿宋"/>
          <w:sz w:val="24"/>
          <w:szCs w:val="24"/>
          <w:highlight w:val="none"/>
        </w:rPr>
        <w:fldChar w:fldCharType="end"/>
      </w:r>
      <w:r>
        <w:rPr>
          <w:rFonts w:hint="eastAsia" w:ascii="华文仿宋" w:hAnsi="华文仿宋" w:eastAsia="华文仿宋" w:cs="华文仿宋"/>
          <w:sz w:val="24"/>
          <w:szCs w:val="24"/>
          <w:highlight w:val="none"/>
        </w:rPr>
        <w:fldChar w:fldCharType="end"/>
      </w:r>
    </w:p>
    <w:p>
      <w:pPr>
        <w:pStyle w:val="23"/>
        <w:tabs>
          <w:tab w:val="right" w:leader="dot" w:pos="8306"/>
        </w:tabs>
        <w:spacing w:line="520" w:lineRule="exact"/>
        <w:rPr>
          <w:rFonts w:ascii="华文仿宋" w:hAnsi="华文仿宋" w:eastAsia="华文仿宋" w:cs="华文仿宋"/>
          <w:sz w:val="24"/>
          <w:szCs w:val="24"/>
          <w:highlight w:val="none"/>
        </w:rPr>
      </w:pPr>
      <w:r>
        <w:rPr>
          <w:highlight w:val="none"/>
        </w:rPr>
        <w:fldChar w:fldCharType="begin"/>
      </w:r>
      <w:r>
        <w:rPr>
          <w:highlight w:val="none"/>
        </w:rPr>
        <w:instrText xml:space="preserve"> HYPERLINK \l "_Toc30515" </w:instrText>
      </w:r>
      <w:r>
        <w:rPr>
          <w:highlight w:val="none"/>
        </w:rPr>
        <w:fldChar w:fldCharType="separate"/>
      </w:r>
      <w:r>
        <w:rPr>
          <w:rFonts w:hint="eastAsia" w:ascii="华文仿宋" w:hAnsi="华文仿宋" w:eastAsia="华文仿宋" w:cs="华文仿宋"/>
          <w:sz w:val="24"/>
          <w:szCs w:val="24"/>
          <w:highlight w:val="none"/>
        </w:rPr>
        <w:t>七、工作经历认定</w:t>
      </w:r>
      <w:r>
        <w:rPr>
          <w:rFonts w:hint="eastAsia" w:ascii="华文仿宋" w:hAnsi="华文仿宋" w:eastAsia="华文仿宋" w:cs="华文仿宋"/>
          <w:sz w:val="24"/>
          <w:szCs w:val="24"/>
          <w:highlight w:val="none"/>
        </w:rPr>
        <w:tab/>
      </w:r>
      <w:r>
        <w:rPr>
          <w:rFonts w:hint="eastAsia" w:ascii="华文仿宋" w:hAnsi="华文仿宋" w:eastAsia="华文仿宋" w:cs="华文仿宋"/>
          <w:sz w:val="24"/>
          <w:szCs w:val="24"/>
          <w:highlight w:val="none"/>
        </w:rPr>
        <w:fldChar w:fldCharType="begin"/>
      </w:r>
      <w:r>
        <w:rPr>
          <w:rFonts w:hint="eastAsia" w:ascii="华文仿宋" w:hAnsi="华文仿宋" w:eastAsia="华文仿宋" w:cs="华文仿宋"/>
          <w:sz w:val="24"/>
          <w:szCs w:val="24"/>
          <w:highlight w:val="none"/>
        </w:rPr>
        <w:instrText xml:space="preserve"> PAGEREF _Toc30515 \h </w:instrText>
      </w:r>
      <w:r>
        <w:rPr>
          <w:rFonts w:hint="eastAsia" w:ascii="华文仿宋" w:hAnsi="华文仿宋" w:eastAsia="华文仿宋" w:cs="华文仿宋"/>
          <w:sz w:val="24"/>
          <w:szCs w:val="24"/>
          <w:highlight w:val="none"/>
        </w:rPr>
        <w:fldChar w:fldCharType="separate"/>
      </w:r>
      <w:r>
        <w:rPr>
          <w:rFonts w:hint="eastAsia" w:ascii="华文仿宋" w:hAnsi="华文仿宋" w:eastAsia="华文仿宋" w:cs="华文仿宋"/>
          <w:sz w:val="24"/>
          <w:szCs w:val="24"/>
          <w:highlight w:val="none"/>
        </w:rPr>
        <w:t>6</w:t>
      </w:r>
      <w:r>
        <w:rPr>
          <w:rFonts w:hint="eastAsia" w:ascii="华文仿宋" w:hAnsi="华文仿宋" w:eastAsia="华文仿宋" w:cs="华文仿宋"/>
          <w:sz w:val="24"/>
          <w:szCs w:val="24"/>
          <w:highlight w:val="none"/>
        </w:rPr>
        <w:fldChar w:fldCharType="end"/>
      </w:r>
      <w:r>
        <w:rPr>
          <w:rFonts w:hint="eastAsia" w:ascii="华文仿宋" w:hAnsi="华文仿宋" w:eastAsia="华文仿宋" w:cs="华文仿宋"/>
          <w:sz w:val="24"/>
          <w:szCs w:val="24"/>
          <w:highlight w:val="none"/>
        </w:rPr>
        <w:fldChar w:fldCharType="end"/>
      </w:r>
    </w:p>
    <w:p>
      <w:pPr>
        <w:pStyle w:val="23"/>
        <w:tabs>
          <w:tab w:val="right" w:leader="dot" w:pos="8306"/>
        </w:tabs>
        <w:spacing w:line="520" w:lineRule="exact"/>
        <w:rPr>
          <w:rFonts w:ascii="华文仿宋" w:hAnsi="华文仿宋" w:eastAsia="华文仿宋" w:cs="华文仿宋"/>
          <w:sz w:val="24"/>
          <w:szCs w:val="24"/>
          <w:highlight w:val="none"/>
        </w:rPr>
      </w:pPr>
      <w:r>
        <w:rPr>
          <w:highlight w:val="none"/>
        </w:rPr>
        <w:fldChar w:fldCharType="begin"/>
      </w:r>
      <w:r>
        <w:rPr>
          <w:highlight w:val="none"/>
        </w:rPr>
        <w:instrText xml:space="preserve"> HYPERLINK \l "_Toc724" </w:instrText>
      </w:r>
      <w:r>
        <w:rPr>
          <w:highlight w:val="none"/>
        </w:rPr>
        <w:fldChar w:fldCharType="separate"/>
      </w:r>
      <w:r>
        <w:rPr>
          <w:rFonts w:hint="eastAsia" w:ascii="华文仿宋" w:hAnsi="华文仿宋" w:eastAsia="华文仿宋" w:cs="华文仿宋"/>
          <w:sz w:val="24"/>
          <w:szCs w:val="24"/>
          <w:highlight w:val="none"/>
        </w:rPr>
        <w:t>八、考试</w:t>
      </w:r>
      <w:r>
        <w:rPr>
          <w:rFonts w:hint="eastAsia" w:ascii="华文仿宋" w:hAnsi="华文仿宋" w:eastAsia="华文仿宋" w:cs="华文仿宋"/>
          <w:sz w:val="24"/>
          <w:szCs w:val="24"/>
          <w:highlight w:val="none"/>
        </w:rPr>
        <w:tab/>
      </w:r>
      <w:r>
        <w:rPr>
          <w:rFonts w:hint="eastAsia" w:ascii="华文仿宋" w:hAnsi="华文仿宋" w:eastAsia="华文仿宋" w:cs="华文仿宋"/>
          <w:sz w:val="24"/>
          <w:szCs w:val="24"/>
          <w:highlight w:val="none"/>
        </w:rPr>
        <w:fldChar w:fldCharType="begin"/>
      </w:r>
      <w:r>
        <w:rPr>
          <w:rFonts w:hint="eastAsia" w:ascii="华文仿宋" w:hAnsi="华文仿宋" w:eastAsia="华文仿宋" w:cs="华文仿宋"/>
          <w:sz w:val="24"/>
          <w:szCs w:val="24"/>
          <w:highlight w:val="none"/>
        </w:rPr>
        <w:instrText xml:space="preserve"> PAGEREF _Toc724 \h </w:instrText>
      </w:r>
      <w:r>
        <w:rPr>
          <w:rFonts w:hint="eastAsia" w:ascii="华文仿宋" w:hAnsi="华文仿宋" w:eastAsia="华文仿宋" w:cs="华文仿宋"/>
          <w:sz w:val="24"/>
          <w:szCs w:val="24"/>
          <w:highlight w:val="none"/>
        </w:rPr>
        <w:fldChar w:fldCharType="separate"/>
      </w:r>
      <w:r>
        <w:rPr>
          <w:rFonts w:hint="eastAsia" w:ascii="华文仿宋" w:hAnsi="华文仿宋" w:eastAsia="华文仿宋" w:cs="华文仿宋"/>
          <w:sz w:val="24"/>
          <w:szCs w:val="24"/>
          <w:highlight w:val="none"/>
        </w:rPr>
        <w:t>6</w:t>
      </w:r>
      <w:r>
        <w:rPr>
          <w:rFonts w:hint="eastAsia" w:ascii="华文仿宋" w:hAnsi="华文仿宋" w:eastAsia="华文仿宋" w:cs="华文仿宋"/>
          <w:sz w:val="24"/>
          <w:szCs w:val="24"/>
          <w:highlight w:val="none"/>
        </w:rPr>
        <w:fldChar w:fldCharType="end"/>
      </w:r>
      <w:r>
        <w:rPr>
          <w:rFonts w:hint="eastAsia" w:ascii="华文仿宋" w:hAnsi="华文仿宋" w:eastAsia="华文仿宋" w:cs="华文仿宋"/>
          <w:sz w:val="24"/>
          <w:szCs w:val="24"/>
          <w:highlight w:val="none"/>
        </w:rPr>
        <w:fldChar w:fldCharType="end"/>
      </w:r>
    </w:p>
    <w:p>
      <w:pPr>
        <w:pStyle w:val="23"/>
        <w:tabs>
          <w:tab w:val="right" w:leader="dot" w:pos="8306"/>
        </w:tabs>
        <w:spacing w:line="520" w:lineRule="exact"/>
        <w:rPr>
          <w:rFonts w:ascii="华文仿宋" w:hAnsi="华文仿宋" w:eastAsia="华文仿宋" w:cs="华文仿宋"/>
          <w:sz w:val="24"/>
          <w:szCs w:val="24"/>
          <w:highlight w:val="none"/>
        </w:rPr>
      </w:pPr>
      <w:r>
        <w:rPr>
          <w:highlight w:val="none"/>
        </w:rPr>
        <w:fldChar w:fldCharType="begin"/>
      </w:r>
      <w:r>
        <w:rPr>
          <w:highlight w:val="none"/>
        </w:rPr>
        <w:instrText xml:space="preserve"> HYPERLINK \l "_Toc1149" </w:instrText>
      </w:r>
      <w:r>
        <w:rPr>
          <w:highlight w:val="none"/>
        </w:rPr>
        <w:fldChar w:fldCharType="separate"/>
      </w:r>
      <w:r>
        <w:rPr>
          <w:rFonts w:hint="eastAsia" w:ascii="华文仿宋" w:hAnsi="华文仿宋" w:eastAsia="华文仿宋" w:cs="华文仿宋"/>
          <w:sz w:val="24"/>
          <w:szCs w:val="24"/>
          <w:highlight w:val="none"/>
        </w:rPr>
        <w:t>九、体检</w:t>
      </w:r>
      <w:r>
        <w:rPr>
          <w:rFonts w:hint="eastAsia" w:ascii="华文仿宋" w:hAnsi="华文仿宋" w:eastAsia="华文仿宋" w:cs="华文仿宋"/>
          <w:sz w:val="24"/>
          <w:szCs w:val="24"/>
          <w:highlight w:val="none"/>
        </w:rPr>
        <w:tab/>
      </w:r>
      <w:r>
        <w:rPr>
          <w:rFonts w:hint="eastAsia" w:ascii="华文仿宋" w:hAnsi="华文仿宋" w:eastAsia="华文仿宋" w:cs="华文仿宋"/>
          <w:sz w:val="24"/>
          <w:szCs w:val="24"/>
          <w:highlight w:val="none"/>
        </w:rPr>
        <w:fldChar w:fldCharType="begin"/>
      </w:r>
      <w:r>
        <w:rPr>
          <w:rFonts w:hint="eastAsia" w:ascii="华文仿宋" w:hAnsi="华文仿宋" w:eastAsia="华文仿宋" w:cs="华文仿宋"/>
          <w:sz w:val="24"/>
          <w:szCs w:val="24"/>
          <w:highlight w:val="none"/>
        </w:rPr>
        <w:instrText xml:space="preserve"> PAGEREF _Toc1149 \h </w:instrText>
      </w:r>
      <w:r>
        <w:rPr>
          <w:rFonts w:hint="eastAsia" w:ascii="华文仿宋" w:hAnsi="华文仿宋" w:eastAsia="华文仿宋" w:cs="华文仿宋"/>
          <w:sz w:val="24"/>
          <w:szCs w:val="24"/>
          <w:highlight w:val="none"/>
        </w:rPr>
        <w:fldChar w:fldCharType="separate"/>
      </w:r>
      <w:r>
        <w:rPr>
          <w:rFonts w:hint="eastAsia" w:ascii="华文仿宋" w:hAnsi="华文仿宋" w:eastAsia="华文仿宋" w:cs="华文仿宋"/>
          <w:sz w:val="24"/>
          <w:szCs w:val="24"/>
          <w:highlight w:val="none"/>
        </w:rPr>
        <w:t>7</w:t>
      </w:r>
      <w:r>
        <w:rPr>
          <w:rFonts w:hint="eastAsia" w:ascii="华文仿宋" w:hAnsi="华文仿宋" w:eastAsia="华文仿宋" w:cs="华文仿宋"/>
          <w:sz w:val="24"/>
          <w:szCs w:val="24"/>
          <w:highlight w:val="none"/>
        </w:rPr>
        <w:fldChar w:fldCharType="end"/>
      </w:r>
      <w:r>
        <w:rPr>
          <w:rFonts w:hint="eastAsia" w:ascii="华文仿宋" w:hAnsi="华文仿宋" w:eastAsia="华文仿宋" w:cs="华文仿宋"/>
          <w:sz w:val="24"/>
          <w:szCs w:val="24"/>
          <w:highlight w:val="none"/>
        </w:rPr>
        <w:fldChar w:fldCharType="end"/>
      </w:r>
    </w:p>
    <w:p>
      <w:pPr>
        <w:pStyle w:val="23"/>
        <w:tabs>
          <w:tab w:val="right" w:leader="dot" w:pos="8306"/>
        </w:tabs>
        <w:spacing w:line="520" w:lineRule="exact"/>
        <w:rPr>
          <w:rFonts w:ascii="华文仿宋" w:hAnsi="华文仿宋" w:eastAsia="华文仿宋" w:cs="华文仿宋"/>
          <w:sz w:val="24"/>
          <w:szCs w:val="24"/>
          <w:highlight w:val="none"/>
        </w:rPr>
      </w:pPr>
      <w:r>
        <w:rPr>
          <w:highlight w:val="none"/>
        </w:rPr>
        <w:fldChar w:fldCharType="begin"/>
      </w:r>
      <w:r>
        <w:rPr>
          <w:highlight w:val="none"/>
        </w:rPr>
        <w:instrText xml:space="preserve"> HYPERLINK \l "_Toc24411" </w:instrText>
      </w:r>
      <w:r>
        <w:rPr>
          <w:highlight w:val="none"/>
        </w:rPr>
        <w:fldChar w:fldCharType="separate"/>
      </w:r>
      <w:r>
        <w:rPr>
          <w:rFonts w:hint="eastAsia" w:ascii="华文仿宋" w:hAnsi="华文仿宋" w:eastAsia="华文仿宋" w:cs="华文仿宋"/>
          <w:sz w:val="24"/>
          <w:szCs w:val="24"/>
          <w:highlight w:val="none"/>
        </w:rPr>
        <w:t>十、考察</w:t>
      </w:r>
      <w:r>
        <w:rPr>
          <w:rFonts w:hint="eastAsia" w:ascii="华文仿宋" w:hAnsi="华文仿宋" w:eastAsia="华文仿宋" w:cs="华文仿宋"/>
          <w:sz w:val="24"/>
          <w:szCs w:val="24"/>
          <w:highlight w:val="none"/>
        </w:rPr>
        <w:tab/>
      </w:r>
      <w:r>
        <w:rPr>
          <w:rFonts w:hint="eastAsia" w:ascii="华文仿宋" w:hAnsi="华文仿宋" w:eastAsia="华文仿宋" w:cs="华文仿宋"/>
          <w:sz w:val="24"/>
          <w:szCs w:val="24"/>
          <w:highlight w:val="none"/>
        </w:rPr>
        <w:fldChar w:fldCharType="begin"/>
      </w:r>
      <w:r>
        <w:rPr>
          <w:rFonts w:hint="eastAsia" w:ascii="华文仿宋" w:hAnsi="华文仿宋" w:eastAsia="华文仿宋" w:cs="华文仿宋"/>
          <w:sz w:val="24"/>
          <w:szCs w:val="24"/>
          <w:highlight w:val="none"/>
        </w:rPr>
        <w:instrText xml:space="preserve"> PAGEREF _Toc24411 \h </w:instrText>
      </w:r>
      <w:r>
        <w:rPr>
          <w:rFonts w:hint="eastAsia" w:ascii="华文仿宋" w:hAnsi="华文仿宋" w:eastAsia="华文仿宋" w:cs="华文仿宋"/>
          <w:sz w:val="24"/>
          <w:szCs w:val="24"/>
          <w:highlight w:val="none"/>
        </w:rPr>
        <w:fldChar w:fldCharType="separate"/>
      </w:r>
      <w:r>
        <w:rPr>
          <w:rFonts w:hint="eastAsia" w:ascii="华文仿宋" w:hAnsi="华文仿宋" w:eastAsia="华文仿宋" w:cs="华文仿宋"/>
          <w:sz w:val="24"/>
          <w:szCs w:val="24"/>
          <w:highlight w:val="none"/>
        </w:rPr>
        <w:t>11</w:t>
      </w:r>
      <w:r>
        <w:rPr>
          <w:rFonts w:hint="eastAsia" w:ascii="华文仿宋" w:hAnsi="华文仿宋" w:eastAsia="华文仿宋" w:cs="华文仿宋"/>
          <w:sz w:val="24"/>
          <w:szCs w:val="24"/>
          <w:highlight w:val="none"/>
        </w:rPr>
        <w:fldChar w:fldCharType="end"/>
      </w:r>
      <w:r>
        <w:rPr>
          <w:rFonts w:hint="eastAsia" w:ascii="华文仿宋" w:hAnsi="华文仿宋" w:eastAsia="华文仿宋" w:cs="华文仿宋"/>
          <w:sz w:val="24"/>
          <w:szCs w:val="24"/>
          <w:highlight w:val="none"/>
        </w:rPr>
        <w:fldChar w:fldCharType="end"/>
      </w:r>
    </w:p>
    <w:p>
      <w:pPr>
        <w:pStyle w:val="23"/>
        <w:tabs>
          <w:tab w:val="right" w:leader="dot" w:pos="8306"/>
        </w:tabs>
        <w:spacing w:line="520" w:lineRule="exact"/>
        <w:rPr>
          <w:rFonts w:ascii="华文仿宋" w:hAnsi="华文仿宋" w:eastAsia="华文仿宋" w:cs="华文仿宋"/>
          <w:sz w:val="24"/>
          <w:szCs w:val="24"/>
          <w:highlight w:val="none"/>
        </w:rPr>
      </w:pPr>
      <w:r>
        <w:rPr>
          <w:highlight w:val="none"/>
        </w:rPr>
        <w:fldChar w:fldCharType="begin"/>
      </w:r>
      <w:r>
        <w:rPr>
          <w:highlight w:val="none"/>
        </w:rPr>
        <w:instrText xml:space="preserve"> HYPERLINK \l "_Toc12913" </w:instrText>
      </w:r>
      <w:r>
        <w:rPr>
          <w:highlight w:val="none"/>
        </w:rPr>
        <w:fldChar w:fldCharType="separate"/>
      </w:r>
      <w:r>
        <w:rPr>
          <w:rFonts w:hint="eastAsia" w:ascii="华文仿宋" w:hAnsi="华文仿宋" w:eastAsia="华文仿宋" w:cs="华文仿宋"/>
          <w:sz w:val="24"/>
          <w:szCs w:val="24"/>
          <w:highlight w:val="none"/>
        </w:rPr>
        <w:t>十一、聘用</w:t>
      </w:r>
      <w:r>
        <w:rPr>
          <w:rFonts w:hint="eastAsia" w:ascii="华文仿宋" w:hAnsi="华文仿宋" w:eastAsia="华文仿宋" w:cs="华文仿宋"/>
          <w:sz w:val="24"/>
          <w:szCs w:val="24"/>
          <w:highlight w:val="none"/>
        </w:rPr>
        <w:tab/>
      </w:r>
      <w:r>
        <w:rPr>
          <w:rFonts w:hint="eastAsia" w:ascii="华文仿宋" w:hAnsi="华文仿宋" w:eastAsia="华文仿宋" w:cs="华文仿宋"/>
          <w:sz w:val="24"/>
          <w:szCs w:val="24"/>
          <w:highlight w:val="none"/>
        </w:rPr>
        <w:fldChar w:fldCharType="begin"/>
      </w:r>
      <w:r>
        <w:rPr>
          <w:rFonts w:hint="eastAsia" w:ascii="华文仿宋" w:hAnsi="华文仿宋" w:eastAsia="华文仿宋" w:cs="华文仿宋"/>
          <w:sz w:val="24"/>
          <w:szCs w:val="24"/>
          <w:highlight w:val="none"/>
        </w:rPr>
        <w:instrText xml:space="preserve"> PAGEREF _Toc12913 \h </w:instrText>
      </w:r>
      <w:r>
        <w:rPr>
          <w:rFonts w:hint="eastAsia" w:ascii="华文仿宋" w:hAnsi="华文仿宋" w:eastAsia="华文仿宋" w:cs="华文仿宋"/>
          <w:sz w:val="24"/>
          <w:szCs w:val="24"/>
          <w:highlight w:val="none"/>
        </w:rPr>
        <w:fldChar w:fldCharType="separate"/>
      </w:r>
      <w:r>
        <w:rPr>
          <w:rFonts w:hint="eastAsia" w:ascii="华文仿宋" w:hAnsi="华文仿宋" w:eastAsia="华文仿宋" w:cs="华文仿宋"/>
          <w:sz w:val="24"/>
          <w:szCs w:val="24"/>
          <w:highlight w:val="none"/>
        </w:rPr>
        <w:t>11</w:t>
      </w:r>
      <w:r>
        <w:rPr>
          <w:rFonts w:hint="eastAsia" w:ascii="华文仿宋" w:hAnsi="华文仿宋" w:eastAsia="华文仿宋" w:cs="华文仿宋"/>
          <w:sz w:val="24"/>
          <w:szCs w:val="24"/>
          <w:highlight w:val="none"/>
        </w:rPr>
        <w:fldChar w:fldCharType="end"/>
      </w:r>
      <w:r>
        <w:rPr>
          <w:rFonts w:hint="eastAsia" w:ascii="华文仿宋" w:hAnsi="华文仿宋" w:eastAsia="华文仿宋" w:cs="华文仿宋"/>
          <w:sz w:val="24"/>
          <w:szCs w:val="24"/>
          <w:highlight w:val="none"/>
        </w:rPr>
        <w:fldChar w:fldCharType="end"/>
      </w:r>
    </w:p>
    <w:p>
      <w:pPr>
        <w:pStyle w:val="23"/>
        <w:tabs>
          <w:tab w:val="right" w:leader="dot" w:pos="8306"/>
        </w:tabs>
        <w:spacing w:line="520" w:lineRule="exact"/>
        <w:rPr>
          <w:rFonts w:ascii="华文仿宋" w:hAnsi="华文仿宋" w:eastAsia="华文仿宋" w:cs="华文仿宋"/>
          <w:sz w:val="24"/>
          <w:szCs w:val="24"/>
          <w:highlight w:val="none"/>
        </w:rPr>
      </w:pPr>
      <w:r>
        <w:rPr>
          <w:highlight w:val="none"/>
        </w:rPr>
        <w:fldChar w:fldCharType="begin"/>
      </w:r>
      <w:r>
        <w:rPr>
          <w:highlight w:val="none"/>
        </w:rPr>
        <w:instrText xml:space="preserve"> HYPERLINK \l "_Toc31199" </w:instrText>
      </w:r>
      <w:r>
        <w:rPr>
          <w:highlight w:val="none"/>
        </w:rPr>
        <w:fldChar w:fldCharType="separate"/>
      </w:r>
      <w:r>
        <w:rPr>
          <w:rFonts w:hint="eastAsia" w:ascii="华文仿宋" w:hAnsi="华文仿宋" w:eastAsia="华文仿宋" w:cs="华文仿宋"/>
          <w:sz w:val="24"/>
          <w:szCs w:val="24"/>
          <w:highlight w:val="none"/>
        </w:rPr>
        <w:t>十二、其他事项</w:t>
      </w:r>
      <w:r>
        <w:rPr>
          <w:rFonts w:hint="eastAsia" w:ascii="华文仿宋" w:hAnsi="华文仿宋" w:eastAsia="华文仿宋" w:cs="华文仿宋"/>
          <w:sz w:val="24"/>
          <w:szCs w:val="24"/>
          <w:highlight w:val="none"/>
        </w:rPr>
        <w:tab/>
      </w:r>
      <w:r>
        <w:rPr>
          <w:rFonts w:hint="eastAsia" w:ascii="华文仿宋" w:hAnsi="华文仿宋" w:eastAsia="华文仿宋" w:cs="华文仿宋"/>
          <w:sz w:val="24"/>
          <w:szCs w:val="24"/>
          <w:highlight w:val="none"/>
        </w:rPr>
        <w:fldChar w:fldCharType="begin"/>
      </w:r>
      <w:r>
        <w:rPr>
          <w:rFonts w:hint="eastAsia" w:ascii="华文仿宋" w:hAnsi="华文仿宋" w:eastAsia="华文仿宋" w:cs="华文仿宋"/>
          <w:sz w:val="24"/>
          <w:szCs w:val="24"/>
          <w:highlight w:val="none"/>
        </w:rPr>
        <w:instrText xml:space="preserve"> PAGEREF _Toc31199 \h </w:instrText>
      </w:r>
      <w:r>
        <w:rPr>
          <w:rFonts w:hint="eastAsia" w:ascii="华文仿宋" w:hAnsi="华文仿宋" w:eastAsia="华文仿宋" w:cs="华文仿宋"/>
          <w:sz w:val="24"/>
          <w:szCs w:val="24"/>
          <w:highlight w:val="none"/>
        </w:rPr>
        <w:fldChar w:fldCharType="separate"/>
      </w:r>
      <w:r>
        <w:rPr>
          <w:rFonts w:hint="eastAsia" w:ascii="华文仿宋" w:hAnsi="华文仿宋" w:eastAsia="华文仿宋" w:cs="华文仿宋"/>
          <w:sz w:val="24"/>
          <w:szCs w:val="24"/>
          <w:highlight w:val="none"/>
        </w:rPr>
        <w:t>12</w:t>
      </w:r>
      <w:r>
        <w:rPr>
          <w:rFonts w:hint="eastAsia" w:ascii="华文仿宋" w:hAnsi="华文仿宋" w:eastAsia="华文仿宋" w:cs="华文仿宋"/>
          <w:sz w:val="24"/>
          <w:szCs w:val="24"/>
          <w:highlight w:val="none"/>
        </w:rPr>
        <w:fldChar w:fldCharType="end"/>
      </w:r>
      <w:r>
        <w:rPr>
          <w:rFonts w:hint="eastAsia" w:ascii="华文仿宋" w:hAnsi="华文仿宋" w:eastAsia="华文仿宋" w:cs="华文仿宋"/>
          <w:sz w:val="24"/>
          <w:szCs w:val="24"/>
          <w:highlight w:val="none"/>
        </w:rPr>
        <w:fldChar w:fldCharType="end"/>
      </w:r>
    </w:p>
    <w:p>
      <w:pPr>
        <w:spacing w:line="520" w:lineRule="exact"/>
        <w:ind w:firstLine="480" w:firstLineChars="200"/>
        <w:rPr>
          <w:rFonts w:ascii="华文仿宋" w:hAnsi="华文仿宋" w:eastAsia="华文仿宋" w:cs="华文仿宋"/>
          <w:sz w:val="28"/>
          <w:szCs w:val="28"/>
          <w:highlight w:val="none"/>
        </w:rPr>
      </w:pPr>
      <w:r>
        <w:rPr>
          <w:rFonts w:hint="eastAsia" w:ascii="华文仿宋" w:hAnsi="华文仿宋" w:eastAsia="华文仿宋" w:cs="华文仿宋"/>
          <w:sz w:val="24"/>
          <w:szCs w:val="24"/>
          <w:highlight w:val="none"/>
        </w:rPr>
        <w:fldChar w:fldCharType="end"/>
      </w:r>
    </w:p>
    <w:p>
      <w:pPr>
        <w:spacing w:line="520" w:lineRule="exact"/>
        <w:ind w:firstLine="560" w:firstLineChars="200"/>
        <w:rPr>
          <w:rFonts w:ascii="华文仿宋" w:hAnsi="华文仿宋" w:eastAsia="华文仿宋" w:cs="华文仿宋"/>
          <w:sz w:val="28"/>
          <w:szCs w:val="28"/>
          <w:highlight w:val="none"/>
        </w:rPr>
        <w:sectPr>
          <w:pgSz w:w="11906" w:h="16838"/>
          <w:pgMar w:top="1440" w:right="1800" w:bottom="1440" w:left="1800" w:header="851" w:footer="992" w:gutter="0"/>
          <w:pgNumType w:start="1"/>
          <w:cols w:space="720" w:num="1"/>
          <w:docGrid w:type="lines" w:linePitch="312" w:charSpace="0"/>
        </w:sectPr>
      </w:pPr>
    </w:p>
    <w:p>
      <w:pPr>
        <w:widowControl/>
        <w:spacing w:line="520" w:lineRule="exact"/>
        <w:ind w:firstLine="560" w:firstLineChars="200"/>
        <w:jc w:val="left"/>
        <w:rPr>
          <w:rFonts w:ascii="华文仿宋" w:hAnsi="华文仿宋" w:eastAsia="华文仿宋" w:cs="华文仿宋"/>
          <w:kern w:val="0"/>
          <w:sz w:val="28"/>
          <w:szCs w:val="28"/>
          <w:highlight w:val="none"/>
        </w:rPr>
      </w:pPr>
      <w:r>
        <w:rPr>
          <w:rFonts w:hint="eastAsia" w:ascii="华文仿宋" w:hAnsi="华文仿宋" w:eastAsia="华文仿宋" w:cs="华文仿宋"/>
          <w:kern w:val="0"/>
          <w:sz w:val="28"/>
          <w:szCs w:val="28"/>
          <w:highlight w:val="none"/>
        </w:rPr>
        <w:t>根据国家人事部《事业单位公开招聘人员暂行规定》（2005年第6号部令）及《事业单位人事管理条例》（2014年国务院令第652号）结合我院实际情况，现将相关事宜公布如下。</w:t>
      </w:r>
    </w:p>
    <w:p>
      <w:pPr>
        <w:pStyle w:val="2"/>
        <w:spacing w:line="520" w:lineRule="exact"/>
        <w:ind w:firstLine="689" w:firstLineChars="246"/>
        <w:rPr>
          <w:rFonts w:ascii="华文仿宋" w:hAnsi="华文仿宋" w:eastAsia="华文仿宋" w:cs="华文仿宋"/>
          <w:sz w:val="28"/>
          <w:szCs w:val="28"/>
          <w:highlight w:val="none"/>
        </w:rPr>
      </w:pPr>
      <w:bookmarkStart w:id="2" w:name="_Toc14912"/>
      <w:bookmarkStart w:id="3" w:name="_Toc23801"/>
      <w:bookmarkStart w:id="4" w:name="_Toc3629"/>
      <w:bookmarkStart w:id="5" w:name="_Toc26791"/>
      <w:bookmarkStart w:id="6" w:name="_Toc10459"/>
      <w:bookmarkStart w:id="7" w:name="_Toc32253"/>
      <w:bookmarkStart w:id="8" w:name="_Toc151"/>
      <w:bookmarkStart w:id="9" w:name="_Toc14381"/>
      <w:r>
        <w:rPr>
          <w:rFonts w:hint="eastAsia" w:ascii="华文仿宋" w:hAnsi="华文仿宋" w:eastAsia="华文仿宋" w:cs="华文仿宋"/>
          <w:sz w:val="28"/>
          <w:szCs w:val="28"/>
          <w:highlight w:val="none"/>
        </w:rPr>
        <w:t>一、基本条件</w:t>
      </w:r>
      <w:bookmarkEnd w:id="2"/>
      <w:bookmarkEnd w:id="3"/>
      <w:bookmarkEnd w:id="4"/>
      <w:bookmarkEnd w:id="5"/>
      <w:bookmarkEnd w:id="6"/>
      <w:bookmarkEnd w:id="7"/>
      <w:bookmarkEnd w:id="8"/>
      <w:bookmarkEnd w:id="9"/>
    </w:p>
    <w:p>
      <w:pPr>
        <w:spacing w:line="520" w:lineRule="exact"/>
        <w:ind w:firstLine="560" w:firstLineChars="200"/>
        <w:outlineLvl w:val="1"/>
        <w:rPr>
          <w:rFonts w:ascii="华文仿宋" w:hAnsi="华文仿宋" w:eastAsia="华文仿宋" w:cs="华文仿宋"/>
          <w:sz w:val="28"/>
          <w:szCs w:val="28"/>
          <w:highlight w:val="none"/>
        </w:rPr>
      </w:pPr>
      <w:bookmarkStart w:id="10" w:name="_Toc5812"/>
      <w:bookmarkStart w:id="11" w:name="_Toc22673"/>
      <w:bookmarkStart w:id="12" w:name="_Toc5197"/>
      <w:bookmarkStart w:id="13" w:name="_Toc6090"/>
      <w:bookmarkStart w:id="14" w:name="_Toc24502"/>
      <w:bookmarkStart w:id="15" w:name="_Toc3363"/>
      <w:bookmarkStart w:id="16" w:name="_Toc25850"/>
      <w:bookmarkStart w:id="17" w:name="_Toc20470"/>
      <w:bookmarkStart w:id="18" w:name="_Toc25192"/>
      <w:r>
        <w:rPr>
          <w:rFonts w:hint="eastAsia" w:ascii="华文仿宋" w:hAnsi="华文仿宋" w:eastAsia="华文仿宋" w:cs="华文仿宋"/>
          <w:sz w:val="28"/>
          <w:szCs w:val="28"/>
          <w:highlight w:val="none"/>
        </w:rPr>
        <w:t>（一）具有中华人民共和国国籍；</w:t>
      </w:r>
      <w:bookmarkEnd w:id="10"/>
    </w:p>
    <w:p>
      <w:pPr>
        <w:spacing w:line="520" w:lineRule="exact"/>
        <w:ind w:firstLine="560" w:firstLineChars="200"/>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 xml:space="preserve">（二）拥护中华人民共和国宪法，拥护中国共产党领导和社会主义制度； </w:t>
      </w:r>
    </w:p>
    <w:p>
      <w:pPr>
        <w:spacing w:line="520" w:lineRule="exact"/>
        <w:ind w:firstLine="560" w:firstLineChars="200"/>
        <w:rPr>
          <w:rFonts w:ascii="华文仿宋" w:hAnsi="华文仿宋" w:eastAsia="华文仿宋" w:cs="华文仿宋"/>
          <w:sz w:val="28"/>
          <w:szCs w:val="28"/>
          <w:highlight w:val="none"/>
        </w:rPr>
      </w:pPr>
      <w:bookmarkStart w:id="19" w:name="_Toc7847_WPSOffice_Level2"/>
      <w:bookmarkStart w:id="20" w:name="_Toc20094_WPSOffice_Level2"/>
      <w:bookmarkStart w:id="21" w:name="_Toc6014_WPSOffice_Level2"/>
      <w:bookmarkStart w:id="22" w:name="_Toc9634_WPSOffice_Level2"/>
      <w:r>
        <w:rPr>
          <w:rFonts w:hint="eastAsia" w:ascii="华文仿宋" w:hAnsi="华文仿宋" w:eastAsia="华文仿宋" w:cs="华文仿宋"/>
          <w:sz w:val="28"/>
          <w:szCs w:val="28"/>
          <w:highlight w:val="none"/>
        </w:rPr>
        <w:t>（三）</w:t>
      </w:r>
      <w:bookmarkEnd w:id="19"/>
      <w:bookmarkEnd w:id="20"/>
      <w:bookmarkEnd w:id="21"/>
      <w:bookmarkEnd w:id="22"/>
      <w:r>
        <w:rPr>
          <w:rFonts w:hint="eastAsia" w:ascii="华文仿宋" w:hAnsi="华文仿宋" w:eastAsia="华文仿宋" w:cs="华文仿宋"/>
          <w:sz w:val="28"/>
          <w:szCs w:val="28"/>
          <w:highlight w:val="none"/>
        </w:rPr>
        <w:t>热爱卫生健康事业，具有良好的政治素质和职业道德；</w:t>
      </w:r>
    </w:p>
    <w:p>
      <w:pPr>
        <w:spacing w:line="520" w:lineRule="exact"/>
        <w:ind w:firstLine="560" w:firstLineChars="200"/>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（四）具有正常履行职责的身体条件和心理素质；</w:t>
      </w:r>
    </w:p>
    <w:p>
      <w:pPr>
        <w:spacing w:line="520" w:lineRule="exact"/>
        <w:ind w:firstLine="560" w:firstLineChars="200"/>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（五）具备招聘岗位设置的资格条件。</w:t>
      </w:r>
    </w:p>
    <w:p>
      <w:pPr>
        <w:pStyle w:val="2"/>
        <w:spacing w:line="520" w:lineRule="exact"/>
        <w:ind w:firstLine="689" w:firstLineChars="246"/>
        <w:rPr>
          <w:rFonts w:ascii="华文仿宋" w:hAnsi="华文仿宋" w:eastAsia="华文仿宋" w:cs="华文仿宋"/>
          <w:sz w:val="28"/>
          <w:szCs w:val="28"/>
          <w:highlight w:val="none"/>
        </w:rPr>
      </w:pPr>
      <w:bookmarkStart w:id="23" w:name="_Toc32348"/>
      <w:r>
        <w:rPr>
          <w:rFonts w:hint="eastAsia" w:ascii="华文仿宋" w:hAnsi="华文仿宋" w:eastAsia="华文仿宋" w:cs="华文仿宋"/>
          <w:sz w:val="28"/>
          <w:szCs w:val="28"/>
          <w:highlight w:val="none"/>
        </w:rPr>
        <w:t>二、不得报考或取消报考（聘用）资格的情形</w:t>
      </w:r>
      <w:bookmarkEnd w:id="11"/>
      <w:bookmarkEnd w:id="12"/>
      <w:bookmarkEnd w:id="13"/>
      <w:bookmarkEnd w:id="14"/>
      <w:bookmarkEnd w:id="15"/>
      <w:bookmarkEnd w:id="16"/>
      <w:bookmarkEnd w:id="17"/>
      <w:bookmarkEnd w:id="18"/>
      <w:bookmarkEnd w:id="23"/>
    </w:p>
    <w:p>
      <w:pPr>
        <w:spacing w:line="520" w:lineRule="exact"/>
        <w:ind w:firstLine="560" w:firstLineChars="200"/>
        <w:rPr>
          <w:rFonts w:ascii="华文仿宋" w:hAnsi="华文仿宋" w:eastAsia="华文仿宋" w:cs="华文仿宋"/>
          <w:sz w:val="28"/>
          <w:szCs w:val="28"/>
          <w:highlight w:val="none"/>
        </w:rPr>
      </w:pPr>
      <w:bookmarkStart w:id="24" w:name="_Toc14770"/>
      <w:bookmarkStart w:id="25" w:name="_Toc28345"/>
      <w:bookmarkStart w:id="26" w:name="_Toc24432"/>
      <w:bookmarkStart w:id="27" w:name="_Toc32418"/>
      <w:bookmarkStart w:id="28" w:name="_Toc9365"/>
      <w:bookmarkStart w:id="29" w:name="_Toc6005"/>
      <w:bookmarkStart w:id="30" w:name="_Toc15808"/>
      <w:bookmarkStart w:id="31" w:name="_Toc20746"/>
      <w:bookmarkStart w:id="32" w:name="_Toc27877"/>
      <w:r>
        <w:rPr>
          <w:rFonts w:hint="eastAsia" w:ascii="华文仿宋" w:hAnsi="华文仿宋" w:eastAsia="华文仿宋" w:cs="华文仿宋"/>
          <w:sz w:val="28"/>
          <w:szCs w:val="28"/>
          <w:highlight w:val="none"/>
        </w:rPr>
        <w:t>（一）曾因犯罪受过刑事处罚的；</w:t>
      </w:r>
    </w:p>
    <w:p>
      <w:pPr>
        <w:spacing w:line="520" w:lineRule="exact"/>
        <w:ind w:firstLine="560" w:firstLineChars="200"/>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（二）曾被开除公职或开除中国共产党党籍的；</w:t>
      </w:r>
    </w:p>
    <w:p>
      <w:pPr>
        <w:spacing w:line="520" w:lineRule="exact"/>
        <w:ind w:firstLine="560" w:firstLineChars="200"/>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（三）被依法列为失信联合惩戒对象的;</w:t>
      </w:r>
    </w:p>
    <w:p>
      <w:pPr>
        <w:spacing w:line="520" w:lineRule="exact"/>
        <w:ind w:firstLine="560" w:firstLineChars="200"/>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（四）在各级公务员或事业单位招考中被认定有舞弊等严重违反录(聘)用纪律行为的；</w:t>
      </w:r>
    </w:p>
    <w:p>
      <w:pPr>
        <w:spacing w:line="520" w:lineRule="exact"/>
        <w:ind w:firstLine="560" w:firstLineChars="200"/>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（五）公务员或参照公务员法管理机关 (单位) 工作人员(以下简称“参公人员”)被辞退未满5年的；</w:t>
      </w:r>
    </w:p>
    <w:p>
      <w:pPr>
        <w:spacing w:line="520" w:lineRule="exact"/>
        <w:ind w:firstLine="560" w:firstLineChars="200"/>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（六）试用期内的公务员或参公人员；未达到与当地公务员主管部门或单位组织人事部门约定服务年限的公务员和参公人员；</w:t>
      </w:r>
    </w:p>
    <w:p>
      <w:pPr>
        <w:spacing w:line="520" w:lineRule="exact"/>
        <w:ind w:firstLine="560" w:firstLineChars="200"/>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（七）现役军人；</w:t>
      </w:r>
    </w:p>
    <w:p>
      <w:pPr>
        <w:spacing w:line="520" w:lineRule="exact"/>
        <w:ind w:firstLine="560" w:firstLineChars="200"/>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（八）普通高等院校全日制在读的非应届毕业生(即2024年及以后才学业期满的全日制普通教育学生) ；</w:t>
      </w:r>
    </w:p>
    <w:p>
      <w:pPr>
        <w:spacing w:line="520" w:lineRule="exact"/>
        <w:ind w:firstLine="560" w:firstLineChars="200"/>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（九）涉嫌违法犯罪正在接受司法调查尚未做出结论的，或尚未解除党(政)纪处分的，或正在接受纪律审查的;</w:t>
      </w:r>
    </w:p>
    <w:p>
      <w:pPr>
        <w:spacing w:line="520" w:lineRule="exact"/>
        <w:ind w:firstLine="560" w:firstLineChars="200"/>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（十）聘用后即构成应回避关系的；</w:t>
      </w:r>
    </w:p>
    <w:p>
      <w:pPr>
        <w:spacing w:line="520" w:lineRule="exact"/>
        <w:ind w:firstLine="560" w:firstLineChars="200"/>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（十一）法律法规规章规定不得聘为事业单位人员的。</w:t>
      </w:r>
    </w:p>
    <w:p>
      <w:pPr>
        <w:pStyle w:val="2"/>
        <w:spacing w:line="520" w:lineRule="exact"/>
        <w:ind w:firstLine="841" w:firstLineChars="300"/>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三、选报岗位须知</w:t>
      </w:r>
      <w:bookmarkEnd w:id="24"/>
      <w:bookmarkEnd w:id="25"/>
      <w:bookmarkEnd w:id="26"/>
      <w:bookmarkEnd w:id="27"/>
      <w:bookmarkEnd w:id="28"/>
      <w:bookmarkEnd w:id="29"/>
      <w:bookmarkEnd w:id="30"/>
      <w:bookmarkEnd w:id="31"/>
      <w:bookmarkEnd w:id="32"/>
      <w:bookmarkStart w:id="33" w:name="_Toc8112"/>
      <w:bookmarkStart w:id="34" w:name="_Toc9596"/>
      <w:bookmarkStart w:id="35" w:name="_Toc2901"/>
      <w:bookmarkStart w:id="36" w:name="_Toc25581"/>
    </w:p>
    <w:bookmarkEnd w:id="33"/>
    <w:bookmarkEnd w:id="34"/>
    <w:bookmarkEnd w:id="35"/>
    <w:bookmarkEnd w:id="36"/>
    <w:p>
      <w:pPr>
        <w:widowControl/>
        <w:spacing w:before="75" w:after="75" w:line="520" w:lineRule="exact"/>
        <w:ind w:left="-567" w:leftChars="-270" w:right="-624" w:rightChars="-297" w:firstLine="1121" w:firstLineChars="400"/>
        <w:jc w:val="left"/>
        <w:outlineLvl w:val="1"/>
        <w:rPr>
          <w:rFonts w:ascii="华文仿宋" w:hAnsi="华文仿宋" w:eastAsia="华文仿宋" w:cs="华文仿宋"/>
          <w:b/>
          <w:kern w:val="44"/>
          <w:sz w:val="28"/>
          <w:szCs w:val="28"/>
          <w:highlight w:val="none"/>
        </w:rPr>
      </w:pPr>
      <w:bookmarkStart w:id="37" w:name="_Toc412"/>
      <w:bookmarkStart w:id="38" w:name="_Toc308"/>
      <w:bookmarkStart w:id="39" w:name="_Toc16906"/>
      <w:bookmarkStart w:id="40" w:name="_Toc1624"/>
      <w:bookmarkStart w:id="41" w:name="_Toc25424"/>
      <w:bookmarkStart w:id="42" w:name="_Toc21891"/>
      <w:bookmarkStart w:id="43" w:name="_Toc20198"/>
      <w:r>
        <w:rPr>
          <w:rFonts w:hint="eastAsia" w:ascii="华文仿宋" w:hAnsi="华文仿宋" w:eastAsia="华文仿宋" w:cs="华文仿宋"/>
          <w:b/>
          <w:kern w:val="44"/>
          <w:sz w:val="28"/>
          <w:szCs w:val="28"/>
          <w:highlight w:val="none"/>
        </w:rPr>
        <w:t>（一）简历投递</w:t>
      </w:r>
      <w:bookmarkEnd w:id="37"/>
    </w:p>
    <w:p>
      <w:pPr>
        <w:adjustRightInd w:val="0"/>
        <w:snapToGrid w:val="0"/>
        <w:spacing w:line="520" w:lineRule="exact"/>
        <w:ind w:firstLine="560" w:firstLineChars="200"/>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应聘本院招聘岗位者请于</w:t>
      </w:r>
      <w:r>
        <w:rPr>
          <w:rFonts w:hint="eastAsia" w:ascii="华文仿宋" w:hAnsi="华文仿宋" w:eastAsia="华文仿宋" w:cs="华文仿宋"/>
          <w:color w:val="0000FF"/>
          <w:sz w:val="28"/>
          <w:szCs w:val="28"/>
          <w:highlight w:val="none"/>
        </w:rPr>
        <w:t>8月</w:t>
      </w:r>
      <w:r>
        <w:rPr>
          <w:rFonts w:hint="eastAsia" w:ascii="华文仿宋" w:hAnsi="华文仿宋" w:eastAsia="华文仿宋" w:cs="华文仿宋"/>
          <w:color w:val="0000FF"/>
          <w:sz w:val="28"/>
          <w:szCs w:val="28"/>
          <w:highlight w:val="none"/>
          <w:lang w:val="en-US" w:eastAsia="zh-CN"/>
        </w:rPr>
        <w:t>25</w:t>
      </w:r>
      <w:r>
        <w:rPr>
          <w:rFonts w:hint="eastAsia" w:ascii="华文仿宋" w:hAnsi="华文仿宋" w:eastAsia="华文仿宋" w:cs="华文仿宋"/>
          <w:color w:val="0000FF"/>
          <w:sz w:val="28"/>
          <w:szCs w:val="28"/>
          <w:highlight w:val="none"/>
        </w:rPr>
        <w:t>-</w:t>
      </w:r>
      <w:r>
        <w:rPr>
          <w:rFonts w:hint="eastAsia" w:ascii="华文仿宋" w:hAnsi="华文仿宋" w:eastAsia="华文仿宋" w:cs="华文仿宋"/>
          <w:color w:val="0000FF"/>
          <w:sz w:val="28"/>
          <w:szCs w:val="28"/>
          <w:highlight w:val="none"/>
          <w:lang w:val="en-US" w:eastAsia="zh-CN"/>
        </w:rPr>
        <w:t>9月5</w:t>
      </w:r>
      <w:r>
        <w:rPr>
          <w:rFonts w:hint="eastAsia" w:ascii="华文仿宋" w:hAnsi="华文仿宋" w:eastAsia="华文仿宋" w:cs="华文仿宋"/>
          <w:color w:val="0000FF"/>
          <w:sz w:val="28"/>
          <w:szCs w:val="28"/>
          <w:highlight w:val="none"/>
        </w:rPr>
        <w:t>日</w:t>
      </w:r>
      <w:r>
        <w:rPr>
          <w:rFonts w:hint="eastAsia" w:ascii="华文仿宋" w:hAnsi="华文仿宋" w:eastAsia="华文仿宋" w:cs="华文仿宋"/>
          <w:sz w:val="28"/>
          <w:szCs w:val="28"/>
          <w:highlight w:val="none"/>
        </w:rPr>
        <w:t>登陆复旦大学附属肿瘤医院（https://www.shca.org.cn/），通过网上系统报名，请按系统要求填报简历，简历应包括个人经历、文章、课题、获奖情况等信息。</w:t>
      </w:r>
      <w:bookmarkStart w:id="44" w:name="_Toc24175"/>
      <w:r>
        <w:rPr>
          <w:rFonts w:hint="eastAsia" w:ascii="华文仿宋" w:hAnsi="华文仿宋" w:eastAsia="华文仿宋" w:cs="华文仿宋"/>
          <w:sz w:val="28"/>
          <w:szCs w:val="28"/>
          <w:highlight w:val="none"/>
        </w:rPr>
        <w:t>报考者须在报名时，全面、逐项对照招考岗位要求等，确认符合招考岗位资格条件，并在报名期间内完成以下两步操作，否则视为报名不成功。</w:t>
      </w:r>
    </w:p>
    <w:p>
      <w:pPr>
        <w:adjustRightInd w:val="0"/>
        <w:snapToGrid w:val="0"/>
        <w:spacing w:line="520" w:lineRule="exact"/>
        <w:ind w:firstLine="580" w:firstLineChars="200"/>
        <w:rPr>
          <w:rFonts w:ascii="华文仿宋" w:hAnsi="华文仿宋" w:eastAsia="华文仿宋" w:cs="华文仿宋"/>
          <w:sz w:val="28"/>
          <w:szCs w:val="28"/>
          <w:highlight w:val="none"/>
        </w:rPr>
      </w:pPr>
      <w:r>
        <w:rPr>
          <w:rFonts w:hint="eastAsia" w:ascii="华文仿宋" w:hAnsi="华文仿宋" w:eastAsia="华文仿宋" w:cs="华文仿宋"/>
          <w:spacing w:val="5"/>
          <w:sz w:val="28"/>
          <w:szCs w:val="28"/>
          <w:highlight w:val="none"/>
        </w:rPr>
        <w:t>符合加分政策的人员另需提供相关材料，详见第八项。</w:t>
      </w:r>
    </w:p>
    <w:p>
      <w:pPr>
        <w:spacing w:line="520" w:lineRule="exact"/>
        <w:ind w:firstLine="561" w:firstLineChars="200"/>
        <w:rPr>
          <w:rFonts w:ascii="华文仿宋" w:hAnsi="华文仿宋" w:eastAsia="华文仿宋" w:cs="华文仿宋"/>
          <w:b/>
          <w:bCs/>
          <w:sz w:val="28"/>
          <w:szCs w:val="28"/>
          <w:highlight w:val="none"/>
        </w:rPr>
      </w:pPr>
      <w:r>
        <w:rPr>
          <w:rFonts w:hint="eastAsia" w:ascii="华文仿宋" w:hAnsi="华文仿宋" w:eastAsia="华文仿宋" w:cs="华文仿宋"/>
          <w:b/>
          <w:bCs/>
          <w:sz w:val="28"/>
          <w:szCs w:val="28"/>
          <w:highlight w:val="none"/>
        </w:rPr>
        <w:t>（二）回避情形</w:t>
      </w:r>
      <w:bookmarkEnd w:id="38"/>
      <w:bookmarkEnd w:id="39"/>
      <w:bookmarkEnd w:id="40"/>
      <w:bookmarkEnd w:id="41"/>
      <w:bookmarkEnd w:id="42"/>
      <w:bookmarkEnd w:id="43"/>
      <w:bookmarkEnd w:id="44"/>
    </w:p>
    <w:p>
      <w:pPr>
        <w:spacing w:line="520" w:lineRule="exact"/>
        <w:ind w:firstLine="560" w:firstLineChars="200"/>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spacing w:line="520" w:lineRule="exact"/>
        <w:ind w:firstLine="560" w:firstLineChars="200"/>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1.夫妻关系；</w:t>
      </w:r>
    </w:p>
    <w:p>
      <w:pPr>
        <w:spacing w:line="520" w:lineRule="exact"/>
        <w:ind w:firstLine="560" w:firstLineChars="200"/>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2.直系血亲关系，包括祖父母、外祖父母、父母、子女、孙子女、外孙子女；</w:t>
      </w:r>
    </w:p>
    <w:p>
      <w:pPr>
        <w:spacing w:line="520" w:lineRule="exact"/>
        <w:ind w:firstLine="560" w:firstLineChars="200"/>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3.三代以内旁系血亲关系，包括叔伯姑舅姨、兄弟姐妹、堂兄弟姐妹、表兄弟姐妹、侄子女、甥子女；</w:t>
      </w:r>
    </w:p>
    <w:p>
      <w:pPr>
        <w:spacing w:line="520" w:lineRule="exact"/>
        <w:ind w:firstLine="560" w:firstLineChars="200"/>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4.近姻亲关系，包括配偶的父母、配偶的兄弟姐妹及其配偶、子女的配偶及子女配偶的父母、三代以内旁系血亲的配偶；</w:t>
      </w:r>
    </w:p>
    <w:p>
      <w:pPr>
        <w:spacing w:line="520" w:lineRule="exact"/>
        <w:ind w:firstLine="560" w:firstLineChars="200"/>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5.其他亲属关系，包括养父母子女、形成抚养关系的继父母子女及由此形成的直系血亲、三代以内旁系血亲和近姻亲关系。</w:t>
      </w:r>
    </w:p>
    <w:p>
      <w:pPr>
        <w:spacing w:line="520" w:lineRule="exact"/>
        <w:ind w:firstLine="560" w:firstLineChars="200"/>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所称直接上下级领导关系包括：</w:t>
      </w:r>
    </w:p>
    <w:p>
      <w:pPr>
        <w:spacing w:line="520" w:lineRule="exact"/>
        <w:ind w:firstLine="560" w:firstLineChars="200"/>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1.领导班子正职与副职；</w:t>
      </w:r>
    </w:p>
    <w:p>
      <w:pPr>
        <w:spacing w:line="520" w:lineRule="exact"/>
        <w:ind w:firstLine="560" w:firstLineChars="200"/>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2.同一内设机构正职与副职；</w:t>
      </w:r>
    </w:p>
    <w:p>
      <w:pPr>
        <w:spacing w:line="520" w:lineRule="exact"/>
        <w:ind w:firstLine="560" w:firstLineChars="200"/>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3.上级正职、副职与下级正职；</w:t>
      </w:r>
    </w:p>
    <w:p>
      <w:pPr>
        <w:spacing w:line="520" w:lineRule="exact"/>
        <w:ind w:firstLine="560" w:firstLineChars="200"/>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4.单位无内设机构的，其正职、副职与其他管理人员以及从事审计、财务工作的专业技术人员；</w:t>
      </w:r>
    </w:p>
    <w:p>
      <w:pPr>
        <w:spacing w:line="520" w:lineRule="exact"/>
        <w:ind w:firstLine="560" w:firstLineChars="200"/>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5.内设机构无下一级单位的，其正职、副职与其他管理人员以及从事审计、财务工作的专业技术人员。</w:t>
      </w:r>
      <w:bookmarkStart w:id="45" w:name="_Toc459"/>
      <w:bookmarkStart w:id="46" w:name="_Toc20101"/>
      <w:bookmarkStart w:id="47" w:name="_Toc29283"/>
      <w:bookmarkStart w:id="48" w:name="_Toc28052"/>
      <w:bookmarkStart w:id="49" w:name="_Toc6547"/>
      <w:bookmarkStart w:id="50" w:name="_Toc29376"/>
      <w:bookmarkStart w:id="51" w:name="_Toc31418"/>
      <w:bookmarkStart w:id="52" w:name="_Toc14603"/>
    </w:p>
    <w:p>
      <w:pPr>
        <w:spacing w:line="520" w:lineRule="exact"/>
        <w:ind w:firstLine="560" w:firstLineChars="200"/>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从事招聘工作的人员存在应当回避情形的，须实行履职回避。</w:t>
      </w:r>
    </w:p>
    <w:bookmarkEnd w:id="45"/>
    <w:bookmarkEnd w:id="46"/>
    <w:bookmarkEnd w:id="47"/>
    <w:bookmarkEnd w:id="48"/>
    <w:bookmarkEnd w:id="49"/>
    <w:bookmarkEnd w:id="50"/>
    <w:bookmarkEnd w:id="51"/>
    <w:bookmarkEnd w:id="52"/>
    <w:p>
      <w:pPr>
        <w:pStyle w:val="2"/>
        <w:spacing w:line="520" w:lineRule="exact"/>
        <w:ind w:firstLine="549" w:firstLineChars="196"/>
        <w:rPr>
          <w:rFonts w:ascii="华文仿宋" w:hAnsi="华文仿宋" w:eastAsia="华文仿宋" w:cs="华文仿宋"/>
          <w:sz w:val="28"/>
          <w:szCs w:val="28"/>
          <w:highlight w:val="none"/>
        </w:rPr>
      </w:pPr>
      <w:bookmarkStart w:id="53" w:name="_Toc15383"/>
      <w:bookmarkStart w:id="54" w:name="_Toc26712"/>
      <w:bookmarkStart w:id="55" w:name="_Toc16408"/>
      <w:bookmarkStart w:id="56" w:name="_Toc18301"/>
      <w:bookmarkStart w:id="57" w:name="_Toc19363"/>
      <w:bookmarkStart w:id="58" w:name="_Toc9644"/>
      <w:bookmarkStart w:id="59" w:name="_Toc30212"/>
      <w:bookmarkStart w:id="60" w:name="_Toc16925"/>
      <w:bookmarkStart w:id="61" w:name="_Toc12038"/>
      <w:r>
        <w:rPr>
          <w:rFonts w:hint="eastAsia" w:ascii="华文仿宋" w:hAnsi="华文仿宋" w:eastAsia="华文仿宋" w:cs="华文仿宋"/>
          <w:sz w:val="28"/>
          <w:szCs w:val="28"/>
          <w:highlight w:val="none"/>
        </w:rPr>
        <w:t>四、年龄、资格（历）等的计算办法</w:t>
      </w:r>
      <w:bookmarkEnd w:id="53"/>
      <w:bookmarkEnd w:id="54"/>
      <w:bookmarkEnd w:id="55"/>
      <w:bookmarkEnd w:id="56"/>
      <w:bookmarkEnd w:id="57"/>
      <w:bookmarkEnd w:id="58"/>
      <w:bookmarkEnd w:id="59"/>
      <w:bookmarkEnd w:id="60"/>
      <w:bookmarkEnd w:id="61"/>
    </w:p>
    <w:p>
      <w:pPr>
        <w:spacing w:line="520" w:lineRule="exact"/>
        <w:ind w:firstLine="560" w:firstLineChars="200"/>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如无特别说明，相关年限的计算、证书取得时间等，均指计算截至报名截止当月。</w:t>
      </w:r>
    </w:p>
    <w:p>
      <w:pPr>
        <w:pStyle w:val="2"/>
        <w:spacing w:line="520" w:lineRule="exact"/>
        <w:ind w:firstLine="561" w:firstLineChars="200"/>
        <w:rPr>
          <w:rFonts w:ascii="华文仿宋" w:hAnsi="华文仿宋" w:eastAsia="华文仿宋" w:cs="华文仿宋"/>
          <w:sz w:val="28"/>
          <w:szCs w:val="28"/>
          <w:highlight w:val="none"/>
        </w:rPr>
      </w:pPr>
      <w:bookmarkStart w:id="62" w:name="_Toc29192"/>
      <w:bookmarkStart w:id="63" w:name="_Toc25286"/>
      <w:bookmarkStart w:id="64" w:name="_Toc29373"/>
      <w:r>
        <w:rPr>
          <w:rFonts w:hint="eastAsia" w:ascii="华文仿宋" w:hAnsi="华文仿宋" w:eastAsia="华文仿宋" w:cs="华文仿宋"/>
          <w:sz w:val="28"/>
          <w:szCs w:val="28"/>
          <w:highlight w:val="none"/>
        </w:rPr>
        <w:t>（一）年龄</w:t>
      </w:r>
      <w:bookmarkEnd w:id="62"/>
      <w:bookmarkEnd w:id="63"/>
      <w:bookmarkEnd w:id="64"/>
    </w:p>
    <w:p>
      <w:pPr>
        <w:spacing w:line="520" w:lineRule="exact"/>
        <w:ind w:firstLine="560" w:firstLineChars="200"/>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最高年龄要求35周岁是指18周岁以上、35周岁以下的人员（在1987年8月至2005年8月期间出生）。其他最高年龄要求的计算方法以此类推。</w:t>
      </w:r>
    </w:p>
    <w:p>
      <w:pPr>
        <w:pStyle w:val="2"/>
        <w:spacing w:line="520" w:lineRule="exact"/>
        <w:ind w:firstLine="561" w:firstLineChars="200"/>
        <w:rPr>
          <w:rFonts w:ascii="华文仿宋" w:hAnsi="华文仿宋" w:eastAsia="华文仿宋" w:cs="华文仿宋"/>
          <w:sz w:val="28"/>
          <w:szCs w:val="28"/>
          <w:highlight w:val="none"/>
        </w:rPr>
      </w:pPr>
      <w:bookmarkStart w:id="65" w:name="_Toc29952"/>
      <w:bookmarkStart w:id="66" w:name="_Toc13617"/>
      <w:bookmarkStart w:id="67" w:name="_Toc27137"/>
      <w:r>
        <w:rPr>
          <w:rFonts w:hint="eastAsia" w:ascii="华文仿宋" w:hAnsi="华文仿宋" w:eastAsia="华文仿宋" w:cs="华文仿宋"/>
          <w:sz w:val="28"/>
          <w:szCs w:val="28"/>
          <w:highlight w:val="none"/>
        </w:rPr>
        <w:t>（二）资格（历）等</w:t>
      </w:r>
      <w:bookmarkEnd w:id="65"/>
      <w:bookmarkEnd w:id="66"/>
      <w:bookmarkEnd w:id="67"/>
    </w:p>
    <w:p>
      <w:pPr>
        <w:spacing w:line="520" w:lineRule="exact"/>
        <w:ind w:firstLine="560" w:firstLineChars="200"/>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岗位要求具有“XX条件以上”的，如无特别说明，是指具有XX条件或XX条件以上所有条件中任何一个即可。如：具有2年以上工作经验，指截至报名截止当月具有2年或2年以上工作经验；取得初级以上专业技术职务任职资格指取得初级、中级或高级专业技术职务任职资格中的任何一项或其中两项或三项均可。</w:t>
      </w:r>
    </w:p>
    <w:p>
      <w:pPr>
        <w:spacing w:line="520" w:lineRule="exact"/>
        <w:ind w:firstLine="560" w:firstLineChars="200"/>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工作经历 (验) 的年限计算到报名截止当月，按足年足月累计。</w:t>
      </w:r>
    </w:p>
    <w:p>
      <w:pPr>
        <w:pStyle w:val="2"/>
        <w:spacing w:line="520" w:lineRule="exact"/>
        <w:ind w:firstLine="549" w:firstLineChars="196"/>
        <w:rPr>
          <w:rFonts w:ascii="华文仿宋" w:hAnsi="华文仿宋" w:eastAsia="华文仿宋" w:cs="华文仿宋"/>
          <w:sz w:val="28"/>
          <w:szCs w:val="28"/>
          <w:highlight w:val="none"/>
        </w:rPr>
      </w:pPr>
      <w:bookmarkStart w:id="68" w:name="_Toc1966"/>
      <w:bookmarkStart w:id="69" w:name="_Toc8761"/>
      <w:bookmarkStart w:id="70" w:name="_Toc3272"/>
      <w:bookmarkStart w:id="71" w:name="_Toc14196"/>
      <w:bookmarkStart w:id="72" w:name="_Toc21060"/>
      <w:bookmarkStart w:id="73" w:name="_Toc30031"/>
      <w:bookmarkStart w:id="74" w:name="_Toc20934"/>
      <w:bookmarkStart w:id="75" w:name="_Toc13623"/>
      <w:bookmarkStart w:id="76" w:name="_Toc3023"/>
      <w:r>
        <w:rPr>
          <w:rFonts w:hint="eastAsia" w:ascii="华文仿宋" w:hAnsi="华文仿宋" w:eastAsia="华文仿宋" w:cs="华文仿宋"/>
          <w:sz w:val="28"/>
          <w:szCs w:val="28"/>
          <w:highlight w:val="none"/>
        </w:rPr>
        <w:t>五、学历（位）认定</w:t>
      </w:r>
      <w:bookmarkEnd w:id="68"/>
      <w:bookmarkEnd w:id="69"/>
      <w:bookmarkEnd w:id="70"/>
      <w:bookmarkEnd w:id="71"/>
      <w:bookmarkEnd w:id="72"/>
      <w:bookmarkEnd w:id="73"/>
      <w:bookmarkEnd w:id="74"/>
      <w:bookmarkEnd w:id="75"/>
      <w:bookmarkEnd w:id="76"/>
    </w:p>
    <w:p>
      <w:pPr>
        <w:spacing w:line="520" w:lineRule="exact"/>
        <w:ind w:firstLine="560" w:firstLineChars="200"/>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岗位资格条件要求的学历(位)须是国家承认的国民教育毕业学历(位)。</w:t>
      </w:r>
    </w:p>
    <w:p>
      <w:pPr>
        <w:pStyle w:val="2"/>
        <w:spacing w:line="520" w:lineRule="exact"/>
        <w:ind w:firstLine="561" w:firstLineChars="200"/>
        <w:rPr>
          <w:rFonts w:ascii="华文仿宋" w:hAnsi="华文仿宋" w:eastAsia="华文仿宋" w:cs="华文仿宋"/>
          <w:sz w:val="28"/>
          <w:szCs w:val="28"/>
          <w:highlight w:val="none"/>
        </w:rPr>
      </w:pPr>
      <w:bookmarkStart w:id="77" w:name="_Toc15609"/>
      <w:bookmarkStart w:id="78" w:name="_Toc1390"/>
      <w:bookmarkStart w:id="79" w:name="_Toc26083"/>
      <w:bookmarkStart w:id="80" w:name="_Toc18537"/>
      <w:bookmarkStart w:id="81" w:name="_Toc31141"/>
      <w:bookmarkStart w:id="82" w:name="_Toc21436"/>
      <w:bookmarkStart w:id="83" w:name="_Toc15934"/>
      <w:bookmarkStart w:id="84" w:name="_Toc22144"/>
      <w:bookmarkStart w:id="85" w:name="_Toc15768"/>
      <w:r>
        <w:rPr>
          <w:rFonts w:hint="eastAsia" w:ascii="华文仿宋" w:hAnsi="华文仿宋" w:eastAsia="华文仿宋" w:cs="华文仿宋"/>
          <w:sz w:val="28"/>
          <w:szCs w:val="28"/>
          <w:highlight w:val="none"/>
        </w:rPr>
        <w:t>（一）境内学历（位）</w:t>
      </w:r>
      <w:bookmarkEnd w:id="77"/>
      <w:bookmarkEnd w:id="78"/>
      <w:bookmarkEnd w:id="79"/>
      <w:bookmarkEnd w:id="80"/>
      <w:bookmarkEnd w:id="81"/>
      <w:bookmarkEnd w:id="82"/>
      <w:bookmarkEnd w:id="83"/>
      <w:bookmarkEnd w:id="84"/>
      <w:bookmarkEnd w:id="85"/>
    </w:p>
    <w:p>
      <w:pPr>
        <w:spacing w:line="520" w:lineRule="exact"/>
        <w:ind w:firstLine="560" w:firstLineChars="200"/>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用于报考的学历（含自学考试、成人教育、网络教育、夜大、电大等）、学位，应在中国高等教育学生信息网（简称“学信网”，http://www.chsi.com.cn/）上可查询认证；以辅修专业报考的，应同时取得国家承认的列入国民教育序列学历毕业证书，且辅修专业相应信息可在“学信网”上查询。</w:t>
      </w:r>
    </w:p>
    <w:p>
      <w:pPr>
        <w:spacing w:line="520" w:lineRule="exact"/>
        <w:ind w:firstLine="560" w:firstLineChars="200"/>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全日制普通教育2023届毕业生尚未取得相应学历（位）的，可持学校出具的《就业推荐表》或书面证明报名，本科及以下学历毕业生须于2023年9月30日前、研究生学历毕业生须于2023年12月31日前取得并能提供符合岗位报考资格条件的学历（位）证书，否则视为自动放弃考试（聘用）资格。</w:t>
      </w:r>
    </w:p>
    <w:p>
      <w:pPr>
        <w:pStyle w:val="2"/>
        <w:spacing w:line="520" w:lineRule="exact"/>
        <w:ind w:firstLine="561" w:firstLineChars="200"/>
        <w:rPr>
          <w:rFonts w:ascii="华文仿宋" w:hAnsi="华文仿宋" w:eastAsia="华文仿宋" w:cs="华文仿宋"/>
          <w:sz w:val="28"/>
          <w:szCs w:val="28"/>
          <w:highlight w:val="none"/>
        </w:rPr>
      </w:pPr>
      <w:bookmarkStart w:id="86" w:name="_Toc23481"/>
      <w:bookmarkStart w:id="87" w:name="_Toc16410"/>
      <w:bookmarkStart w:id="88" w:name="_Toc25344"/>
      <w:bookmarkStart w:id="89" w:name="_Toc19903"/>
      <w:bookmarkStart w:id="90" w:name="_Toc26637"/>
      <w:bookmarkStart w:id="91" w:name="_Toc2494"/>
      <w:bookmarkStart w:id="92" w:name="_Toc19890"/>
      <w:bookmarkStart w:id="93" w:name="_Toc21019"/>
      <w:bookmarkStart w:id="94" w:name="_Toc19107"/>
      <w:r>
        <w:rPr>
          <w:rFonts w:hint="eastAsia" w:ascii="华文仿宋" w:hAnsi="华文仿宋" w:eastAsia="华文仿宋" w:cs="华文仿宋"/>
          <w:sz w:val="28"/>
          <w:szCs w:val="28"/>
          <w:highlight w:val="none"/>
        </w:rPr>
        <w:t>（二）</w:t>
      </w:r>
      <w:bookmarkEnd w:id="86"/>
      <w:bookmarkEnd w:id="87"/>
      <w:bookmarkEnd w:id="88"/>
      <w:bookmarkEnd w:id="89"/>
      <w:bookmarkEnd w:id="90"/>
      <w:bookmarkEnd w:id="91"/>
      <w:bookmarkEnd w:id="92"/>
      <w:bookmarkEnd w:id="93"/>
      <w:r>
        <w:rPr>
          <w:rFonts w:hint="eastAsia" w:ascii="华文仿宋" w:hAnsi="华文仿宋" w:eastAsia="华文仿宋" w:cs="华文仿宋"/>
          <w:sz w:val="28"/>
          <w:szCs w:val="28"/>
          <w:highlight w:val="none"/>
        </w:rPr>
        <w:t>国（境）外学历（位）</w:t>
      </w:r>
      <w:bookmarkEnd w:id="94"/>
    </w:p>
    <w:p>
      <w:pPr>
        <w:spacing w:line="520" w:lineRule="exact"/>
        <w:ind w:firstLine="560" w:firstLineChars="200"/>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持国（境）外学历（位）报考的，应提供教育部留学服务中心出具的《国外学历学位认证书》或《香港、澳门特别行政区学历学位认证书》等有关证明材料。</w:t>
      </w:r>
    </w:p>
    <w:p>
      <w:pPr>
        <w:spacing w:line="520" w:lineRule="exact"/>
        <w:ind w:firstLine="560" w:firstLineChars="200"/>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属于国内院校与国（境）外院校联合办学取得国（境）外学历（位）的，需提供教育部留学服务中心出具的《联合办学学历学位评估意见书》或《联合办学学历学位认证书》。</w:t>
      </w:r>
    </w:p>
    <w:p>
      <w:pPr>
        <w:pStyle w:val="2"/>
        <w:spacing w:line="520" w:lineRule="exact"/>
        <w:ind w:firstLine="561" w:firstLineChars="200"/>
        <w:rPr>
          <w:rFonts w:ascii="华文仿宋" w:hAnsi="华文仿宋" w:eastAsia="华文仿宋" w:cs="华文仿宋"/>
          <w:sz w:val="28"/>
          <w:szCs w:val="28"/>
          <w:highlight w:val="none"/>
        </w:rPr>
      </w:pPr>
      <w:bookmarkStart w:id="95" w:name="_Toc16795"/>
      <w:bookmarkStart w:id="96" w:name="_Toc10504"/>
      <w:bookmarkStart w:id="97" w:name="_Toc22445"/>
      <w:bookmarkStart w:id="98" w:name="_Toc23613"/>
      <w:bookmarkStart w:id="99" w:name="_Toc30743"/>
      <w:bookmarkStart w:id="100" w:name="_Toc32368"/>
      <w:bookmarkStart w:id="101" w:name="_Toc8453"/>
      <w:bookmarkStart w:id="102" w:name="_Toc14163"/>
      <w:bookmarkStart w:id="103" w:name="_Toc9893"/>
      <w:r>
        <w:rPr>
          <w:rFonts w:hint="eastAsia" w:ascii="华文仿宋" w:hAnsi="华文仿宋" w:eastAsia="华文仿宋" w:cs="华文仿宋"/>
          <w:sz w:val="28"/>
          <w:szCs w:val="28"/>
          <w:highlight w:val="none"/>
        </w:rPr>
        <w:t>（三）福建省“双学位”“双专业”</w:t>
      </w:r>
      <w:bookmarkEnd w:id="95"/>
      <w:bookmarkEnd w:id="96"/>
      <w:bookmarkEnd w:id="97"/>
      <w:bookmarkEnd w:id="98"/>
      <w:bookmarkEnd w:id="99"/>
      <w:bookmarkEnd w:id="100"/>
      <w:bookmarkEnd w:id="101"/>
      <w:bookmarkEnd w:id="102"/>
      <w:r>
        <w:rPr>
          <w:rFonts w:hint="eastAsia" w:ascii="华文仿宋" w:hAnsi="华文仿宋" w:eastAsia="华文仿宋" w:cs="华文仿宋"/>
          <w:sz w:val="28"/>
          <w:szCs w:val="28"/>
          <w:highlight w:val="none"/>
        </w:rPr>
        <w:t>学历</w:t>
      </w:r>
      <w:bookmarkEnd w:id="103"/>
      <w:bookmarkStart w:id="104" w:name="_Toc32514"/>
      <w:bookmarkStart w:id="105" w:name="_Toc17251"/>
      <w:bookmarkStart w:id="106" w:name="_Toc8728"/>
      <w:bookmarkStart w:id="107" w:name="_Toc12030"/>
      <w:bookmarkStart w:id="108" w:name="_Toc513"/>
      <w:bookmarkStart w:id="109" w:name="_Toc14540"/>
      <w:bookmarkStart w:id="110" w:name="_Toc16941"/>
      <w:bookmarkStart w:id="111" w:name="_Toc4851"/>
    </w:p>
    <w:p>
      <w:pPr>
        <w:spacing w:line="520" w:lineRule="exact"/>
        <w:ind w:firstLine="560" w:firstLineChars="200"/>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根据《关于在全省高校毕业生中试行“双学位”“双专业”教育的意见》（闽教高〔2009〕9号），经修读达到毕业条件并获得“双学位”“双专业”证书的报考者，在本省范围内承认其学历、学位。</w:t>
      </w:r>
    </w:p>
    <w:p>
      <w:pPr>
        <w:pStyle w:val="2"/>
        <w:spacing w:line="520" w:lineRule="exact"/>
        <w:ind w:firstLine="561" w:firstLineChars="200"/>
        <w:rPr>
          <w:rFonts w:ascii="华文仿宋" w:hAnsi="华文仿宋" w:eastAsia="华文仿宋" w:cs="华文仿宋"/>
          <w:sz w:val="28"/>
          <w:szCs w:val="28"/>
          <w:highlight w:val="none"/>
        </w:rPr>
      </w:pPr>
      <w:bookmarkStart w:id="112" w:name="_Toc6849"/>
      <w:r>
        <w:rPr>
          <w:rFonts w:hint="eastAsia" w:ascii="华文仿宋" w:hAnsi="华文仿宋" w:eastAsia="华文仿宋" w:cs="华文仿宋"/>
          <w:sz w:val="28"/>
          <w:szCs w:val="28"/>
          <w:highlight w:val="none"/>
        </w:rPr>
        <w:t>（四）提醒事项</w:t>
      </w:r>
      <w:bookmarkEnd w:id="104"/>
      <w:bookmarkEnd w:id="105"/>
      <w:bookmarkEnd w:id="106"/>
      <w:bookmarkEnd w:id="107"/>
      <w:bookmarkEnd w:id="108"/>
      <w:bookmarkEnd w:id="109"/>
      <w:bookmarkEnd w:id="110"/>
      <w:bookmarkEnd w:id="111"/>
      <w:bookmarkEnd w:id="112"/>
    </w:p>
    <w:p>
      <w:pPr>
        <w:spacing w:line="520" w:lineRule="exact"/>
        <w:ind w:firstLine="560" w:firstLineChars="200"/>
        <w:rPr>
          <w:rFonts w:hint="eastAsia" w:ascii="华文仿宋" w:hAnsi="华文仿宋" w:eastAsia="华文仿宋" w:cs="华文仿宋"/>
          <w:sz w:val="28"/>
          <w:szCs w:val="28"/>
          <w:highlight w:val="none"/>
        </w:rPr>
      </w:pPr>
      <w:bookmarkStart w:id="113" w:name="_Toc19635_WPSOffice_Level1"/>
      <w:bookmarkStart w:id="114" w:name="_Toc25204"/>
      <w:bookmarkStart w:id="115" w:name="_Toc6283"/>
      <w:bookmarkStart w:id="116" w:name="_Toc12445"/>
      <w:bookmarkStart w:id="117" w:name="_Toc19084"/>
      <w:bookmarkStart w:id="118" w:name="_Toc20018"/>
      <w:bookmarkStart w:id="119" w:name="_Toc23500"/>
      <w:bookmarkStart w:id="120" w:name="_Toc28427"/>
      <w:bookmarkStart w:id="121" w:name="_Toc12784"/>
      <w:r>
        <w:rPr>
          <w:rFonts w:hint="eastAsia" w:ascii="华文仿宋" w:hAnsi="华文仿宋" w:eastAsia="华文仿宋" w:cs="华文仿宋"/>
          <w:sz w:val="28"/>
          <w:szCs w:val="28"/>
          <w:highlight w:val="none"/>
        </w:rPr>
        <w:t>面试资格复核时，招聘单位将对学历、学位情况进行核查，请考生按照上述要求，提前做好相应认证报告或网上查验准备。</w:t>
      </w:r>
    </w:p>
    <w:p>
      <w:pPr>
        <w:spacing w:line="520" w:lineRule="exact"/>
        <w:ind w:firstLine="560" w:firstLineChars="200"/>
        <w:rPr>
          <w:rFonts w:ascii="华文仿宋" w:hAnsi="华文仿宋" w:eastAsia="华文仿宋" w:cs="华文仿宋"/>
          <w:sz w:val="28"/>
          <w:szCs w:val="28"/>
          <w:highlight w:val="none"/>
        </w:rPr>
      </w:pPr>
      <w:r>
        <w:rPr>
          <w:rFonts w:hint="eastAsia" w:ascii="华文仿宋" w:hAnsi="华文仿宋" w:eastAsia="华文仿宋" w:cs="华文仿宋"/>
          <w:kern w:val="2"/>
          <w:sz w:val="28"/>
          <w:szCs w:val="28"/>
          <w:highlight w:val="none"/>
          <w:lang w:val="en-US" w:eastAsia="zh-CN" w:bidi="ar-SA"/>
        </w:rPr>
        <w:t>全日制普通教育2023届毕业生和持国（境）外学历（位）报考者尚未取得相应学历（位）的，可持学校出具的《就业推荐表》或书面证明报名，在资格复核时提交承诺书（附件），本科及以下学历毕业生须于2023年9月30日前、研究生学历毕业生须于2023年12月31日前取得并能提供符合岗位报考资格条件的学历（位）证书，否则视为自动放弃考试（聘用）资格。</w:t>
      </w:r>
    </w:p>
    <w:bookmarkEnd w:id="113"/>
    <w:p>
      <w:pPr>
        <w:pStyle w:val="2"/>
        <w:spacing w:line="520" w:lineRule="exact"/>
        <w:ind w:firstLine="549" w:firstLineChars="196"/>
        <w:rPr>
          <w:rFonts w:ascii="华文仿宋" w:hAnsi="华文仿宋" w:eastAsia="华文仿宋" w:cs="华文仿宋"/>
          <w:sz w:val="28"/>
          <w:szCs w:val="28"/>
          <w:highlight w:val="none"/>
        </w:rPr>
      </w:pPr>
      <w:bookmarkStart w:id="122" w:name="_Toc17142"/>
      <w:r>
        <w:rPr>
          <w:rFonts w:hint="eastAsia" w:ascii="华文仿宋" w:hAnsi="华文仿宋" w:eastAsia="华文仿宋" w:cs="华文仿宋"/>
          <w:sz w:val="28"/>
          <w:szCs w:val="28"/>
          <w:highlight w:val="none"/>
        </w:rPr>
        <w:t>六、专业认定</w:t>
      </w:r>
      <w:bookmarkEnd w:id="114"/>
      <w:bookmarkEnd w:id="115"/>
      <w:bookmarkEnd w:id="116"/>
      <w:bookmarkEnd w:id="117"/>
      <w:bookmarkEnd w:id="118"/>
      <w:bookmarkEnd w:id="119"/>
      <w:bookmarkEnd w:id="120"/>
      <w:bookmarkEnd w:id="121"/>
      <w:bookmarkEnd w:id="122"/>
    </w:p>
    <w:p>
      <w:pPr>
        <w:spacing w:line="520" w:lineRule="exact"/>
        <w:ind w:firstLine="560" w:firstLineChars="200"/>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本次招聘考试以《福建省机关事业单位招考专业指导目录（2023年）》（以下简称《专业指导目录》）作为岗位专业条件设置和审核的依据。其他来源的专业指导目录不作为本次报考和审核的依据。</w:t>
      </w:r>
    </w:p>
    <w:p>
      <w:pPr>
        <w:pStyle w:val="2"/>
        <w:spacing w:line="520" w:lineRule="exact"/>
        <w:ind w:firstLine="561" w:firstLineChars="200"/>
        <w:rPr>
          <w:rFonts w:ascii="华文仿宋" w:hAnsi="华文仿宋" w:eastAsia="华文仿宋" w:cs="华文仿宋"/>
          <w:sz w:val="28"/>
          <w:szCs w:val="28"/>
          <w:highlight w:val="none"/>
        </w:rPr>
      </w:pPr>
      <w:bookmarkStart w:id="123" w:name="_Toc9707"/>
      <w:bookmarkStart w:id="124" w:name="_Toc12880"/>
      <w:bookmarkStart w:id="125" w:name="_Toc5122"/>
      <w:bookmarkStart w:id="126" w:name="_Toc10798"/>
      <w:bookmarkStart w:id="127" w:name="_Toc17684"/>
      <w:bookmarkStart w:id="128" w:name="_Toc20957"/>
      <w:bookmarkStart w:id="129" w:name="_Toc10067"/>
      <w:bookmarkStart w:id="130" w:name="_Toc30427"/>
      <w:bookmarkStart w:id="131" w:name="_Toc23238"/>
      <w:r>
        <w:rPr>
          <w:rFonts w:hint="eastAsia" w:ascii="华文仿宋" w:hAnsi="华文仿宋" w:eastAsia="华文仿宋" w:cs="华文仿宋"/>
          <w:sz w:val="28"/>
          <w:szCs w:val="28"/>
          <w:highlight w:val="none"/>
        </w:rPr>
        <w:t>（一）填报专业名称</w:t>
      </w:r>
      <w:bookmarkEnd w:id="123"/>
      <w:bookmarkEnd w:id="124"/>
      <w:bookmarkEnd w:id="125"/>
      <w:bookmarkEnd w:id="126"/>
      <w:bookmarkEnd w:id="127"/>
      <w:bookmarkEnd w:id="128"/>
      <w:bookmarkEnd w:id="129"/>
      <w:bookmarkEnd w:id="130"/>
      <w:bookmarkEnd w:id="131"/>
    </w:p>
    <w:p>
      <w:pPr>
        <w:spacing w:line="520" w:lineRule="exact"/>
        <w:ind w:firstLine="560" w:firstLineChars="200"/>
        <w:rPr>
          <w:rFonts w:ascii="华文仿宋" w:hAnsi="华文仿宋" w:eastAsia="华文仿宋" w:cs="华文仿宋"/>
          <w:sz w:val="28"/>
          <w:szCs w:val="28"/>
          <w:highlight w:val="none"/>
        </w:rPr>
      </w:pPr>
      <w:bookmarkStart w:id="132" w:name="_Toc26297"/>
      <w:bookmarkStart w:id="133" w:name="_Toc2160"/>
      <w:bookmarkStart w:id="134" w:name="_Toc8254"/>
      <w:bookmarkStart w:id="135" w:name="_Toc13974"/>
      <w:bookmarkStart w:id="136" w:name="_Toc11746"/>
      <w:bookmarkStart w:id="137" w:name="_Toc18233"/>
      <w:bookmarkStart w:id="138" w:name="_Toc26794"/>
      <w:bookmarkStart w:id="139" w:name="_Toc28346"/>
      <w:bookmarkStart w:id="140" w:name="_Toc28824"/>
      <w:r>
        <w:rPr>
          <w:rFonts w:hint="eastAsia" w:ascii="华文仿宋" w:hAnsi="华文仿宋" w:eastAsia="华文仿宋" w:cs="华文仿宋"/>
          <w:sz w:val="28"/>
          <w:szCs w:val="28"/>
          <w:highlight w:val="none"/>
        </w:rPr>
        <w:t>报考者应严格按照所持证书 (认证报告) 只字不差、如实填写所学专业。其中，全日制普通教育学历所学专业以毕业证书为准，非全日制普通教育和境外学历(位)以教育部学历(位)认证部门出具的认证报告为准。</w:t>
      </w:r>
    </w:p>
    <w:p>
      <w:pPr>
        <w:pStyle w:val="2"/>
        <w:spacing w:line="520" w:lineRule="exact"/>
        <w:ind w:firstLine="561" w:firstLineChars="200"/>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（二）专业与学历（位）的对应关系</w:t>
      </w:r>
      <w:bookmarkEnd w:id="132"/>
      <w:bookmarkEnd w:id="133"/>
      <w:bookmarkEnd w:id="134"/>
      <w:bookmarkEnd w:id="135"/>
      <w:bookmarkEnd w:id="136"/>
      <w:bookmarkEnd w:id="137"/>
      <w:bookmarkEnd w:id="138"/>
      <w:bookmarkEnd w:id="139"/>
      <w:bookmarkEnd w:id="140"/>
    </w:p>
    <w:p>
      <w:pPr>
        <w:spacing w:line="520" w:lineRule="exact"/>
        <w:ind w:firstLine="560" w:firstLineChars="200"/>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报考者毕业证书的专业与岗位要求的专业条件应当一致，报考者可使用本人已获得的任意学历及其对应的专业进行报考，如具有研究生学历的报考者也可使用本人的本科学历及其对应的专业报考，但所用专业对应的学历不得低于该岗位设置的学历条件要求。</w:t>
      </w:r>
    </w:p>
    <w:p>
      <w:pPr>
        <w:pStyle w:val="2"/>
        <w:spacing w:line="520" w:lineRule="exact"/>
        <w:ind w:firstLine="561" w:firstLineChars="200"/>
        <w:rPr>
          <w:rFonts w:ascii="华文仿宋" w:hAnsi="华文仿宋" w:eastAsia="华文仿宋" w:cs="华文仿宋"/>
          <w:sz w:val="28"/>
          <w:szCs w:val="28"/>
          <w:highlight w:val="none"/>
        </w:rPr>
      </w:pPr>
      <w:bookmarkStart w:id="141" w:name="_Toc5876"/>
      <w:bookmarkStart w:id="142" w:name="_Toc22335"/>
      <w:bookmarkStart w:id="143" w:name="_Toc5408"/>
      <w:bookmarkStart w:id="144" w:name="_Toc29175"/>
      <w:bookmarkStart w:id="145" w:name="_Toc9196"/>
      <w:bookmarkStart w:id="146" w:name="_Toc21515"/>
      <w:bookmarkStart w:id="147" w:name="_Toc20923"/>
      <w:bookmarkStart w:id="148" w:name="_Toc11369"/>
      <w:bookmarkStart w:id="149" w:name="_Toc6351"/>
      <w:r>
        <w:rPr>
          <w:rFonts w:hint="eastAsia" w:ascii="华文仿宋" w:hAnsi="华文仿宋" w:eastAsia="华文仿宋" w:cs="华文仿宋"/>
          <w:sz w:val="28"/>
          <w:szCs w:val="28"/>
          <w:highlight w:val="none"/>
        </w:rPr>
        <w:t>（三）专业资格的认定</w:t>
      </w:r>
      <w:bookmarkEnd w:id="141"/>
      <w:bookmarkEnd w:id="142"/>
      <w:bookmarkEnd w:id="143"/>
      <w:bookmarkEnd w:id="144"/>
      <w:bookmarkEnd w:id="145"/>
      <w:bookmarkEnd w:id="146"/>
      <w:bookmarkEnd w:id="147"/>
      <w:bookmarkEnd w:id="148"/>
      <w:bookmarkEnd w:id="149"/>
    </w:p>
    <w:p>
      <w:pPr>
        <w:spacing w:line="520" w:lineRule="exact"/>
        <w:ind w:firstLine="560" w:firstLineChars="200"/>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1.专业条件为“××类”的岗位，报考者所学专业须符合《专业指导目录》中“××类”下所列专业，专业条件为具体专业名称的，报考者所学专业须符合所列专业。</w:t>
      </w:r>
    </w:p>
    <w:p>
      <w:pPr>
        <w:spacing w:line="520" w:lineRule="exact"/>
        <w:ind w:firstLine="560" w:firstLineChars="200"/>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专业条件要求“临床医学”专业的，含“临床医学”或“临床医学硕士”或“临床医学博士”专业，其他专业以此类推。</w:t>
      </w:r>
    </w:p>
    <w:p>
      <w:pPr>
        <w:spacing w:line="520" w:lineRule="exact"/>
        <w:ind w:firstLine="560" w:firstLineChars="200"/>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2.岗位资格条件要求“专业方向”的，报考者需提供主干课程成绩表、论文发表情况、学校证明等有效凭证（下同）。</w:t>
      </w:r>
    </w:p>
    <w:p>
      <w:pPr>
        <w:spacing w:line="520" w:lineRule="exact"/>
        <w:ind w:firstLine="560" w:firstLineChars="200"/>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3.如报考者所学专业不在《专业指导目录》中但与拟报考岗位所需专业“相近、相似”的，报考者须参照上述佐证“专业方向”应提供的有效凭证，由招聘单位审核。报考者所学专业只字不差体现在《专业指导目录》中，但未列入招聘岗位所需专业要求的，不得报考该岗位。</w:t>
      </w:r>
    </w:p>
    <w:p>
      <w:pPr>
        <w:pStyle w:val="2"/>
        <w:spacing w:line="520" w:lineRule="exact"/>
        <w:ind w:firstLine="549" w:firstLineChars="196"/>
        <w:rPr>
          <w:rFonts w:ascii="华文仿宋" w:hAnsi="华文仿宋" w:eastAsia="华文仿宋" w:cs="华文仿宋"/>
          <w:sz w:val="28"/>
          <w:szCs w:val="28"/>
          <w:highlight w:val="none"/>
        </w:rPr>
      </w:pPr>
      <w:bookmarkStart w:id="150" w:name="_Toc5985"/>
      <w:bookmarkStart w:id="151" w:name="_Toc10277"/>
      <w:bookmarkStart w:id="152" w:name="_Toc26125"/>
      <w:bookmarkStart w:id="153" w:name="_Toc19746"/>
      <w:bookmarkStart w:id="154" w:name="_Toc2928"/>
      <w:bookmarkStart w:id="155" w:name="_Toc10327"/>
      <w:bookmarkStart w:id="156" w:name="_Toc30515"/>
      <w:bookmarkStart w:id="157" w:name="_Toc7490"/>
      <w:bookmarkStart w:id="158" w:name="_Toc6797"/>
      <w:r>
        <w:rPr>
          <w:rFonts w:hint="eastAsia" w:ascii="华文仿宋" w:hAnsi="华文仿宋" w:eastAsia="华文仿宋" w:cs="华文仿宋"/>
          <w:sz w:val="28"/>
          <w:szCs w:val="28"/>
          <w:highlight w:val="none"/>
        </w:rPr>
        <w:t>七、工作经</w:t>
      </w:r>
      <w:bookmarkEnd w:id="150"/>
      <w:bookmarkEnd w:id="151"/>
      <w:bookmarkEnd w:id="152"/>
      <w:bookmarkEnd w:id="153"/>
      <w:bookmarkEnd w:id="154"/>
      <w:bookmarkEnd w:id="155"/>
      <w:r>
        <w:rPr>
          <w:rFonts w:hint="eastAsia" w:ascii="华文仿宋" w:hAnsi="华文仿宋" w:eastAsia="华文仿宋" w:cs="华文仿宋"/>
          <w:sz w:val="28"/>
          <w:szCs w:val="28"/>
          <w:highlight w:val="none"/>
        </w:rPr>
        <w:t>历认定</w:t>
      </w:r>
      <w:bookmarkEnd w:id="156"/>
      <w:bookmarkEnd w:id="157"/>
      <w:bookmarkEnd w:id="158"/>
    </w:p>
    <w:p>
      <w:pPr>
        <w:spacing w:line="520" w:lineRule="exact"/>
        <w:ind w:firstLine="560" w:firstLineChars="200"/>
        <w:rPr>
          <w:rFonts w:ascii="华文仿宋" w:hAnsi="华文仿宋" w:eastAsia="华文仿宋" w:cs="华文仿宋"/>
          <w:sz w:val="28"/>
          <w:szCs w:val="28"/>
          <w:highlight w:val="none"/>
        </w:rPr>
      </w:pPr>
      <w:bookmarkStart w:id="159" w:name="_Toc724"/>
      <w:r>
        <w:rPr>
          <w:rFonts w:hint="eastAsia" w:ascii="华文仿宋" w:hAnsi="华文仿宋" w:eastAsia="华文仿宋" w:cs="华文仿宋"/>
          <w:sz w:val="28"/>
          <w:szCs w:val="28"/>
          <w:highlight w:val="none"/>
        </w:rPr>
        <w:t>1.岗位资格条件要求的“工作经历”是指在党政机关、事业单位、社团组织，各类企业和非公有制单位及农村工作的经历。自谋职业、个体经营、职业见习等人员，也视为具有工作经历。</w:t>
      </w:r>
    </w:p>
    <w:p>
      <w:pPr>
        <w:spacing w:line="520" w:lineRule="exact"/>
        <w:ind w:firstLine="560" w:firstLineChars="200"/>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2.岗位资格条件要求的“专业工作经验”，应聘人员须提供养老保险缴费凭证或工资发放表等有效凭证，以及聘用(劳动)合同或所在单位出具的从事本专业工作的岗位证明。全日制普通教育毕业生参加经人社部门核定的职业见习，若从事的工作与招聘岗位要求的专业工作经验相关，其毕业后 的职业见习年限可视同工作经验年限。</w:t>
      </w:r>
    </w:p>
    <w:p>
      <w:pPr>
        <w:spacing w:line="520" w:lineRule="exact"/>
        <w:ind w:firstLine="560" w:firstLineChars="200"/>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3.不同单位的相同 (似) 工作经历 (验) 证明可分别开具，工作年限可累计计算。</w:t>
      </w:r>
    </w:p>
    <w:p>
      <w:pPr>
        <w:spacing w:line="520" w:lineRule="exact"/>
        <w:ind w:firstLine="560" w:firstLineChars="200"/>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4.全日制普通教育期间的社会实践经历(含兼职工作等)，不能视为工作经历(验)。</w:t>
      </w:r>
    </w:p>
    <w:p>
      <w:pPr>
        <w:pStyle w:val="2"/>
        <w:numPr>
          <w:ilvl w:val="0"/>
          <w:numId w:val="1"/>
        </w:numPr>
        <w:spacing w:line="520" w:lineRule="exact"/>
        <w:ind w:firstLine="549" w:firstLineChars="196"/>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考试</w:t>
      </w:r>
      <w:bookmarkEnd w:id="159"/>
    </w:p>
    <w:p>
      <w:pPr>
        <w:spacing w:line="520" w:lineRule="exact"/>
        <w:ind w:firstLine="560" w:firstLineChars="200"/>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本次公开招聘采取笔试和面试相结合的考试方法。</w:t>
      </w:r>
    </w:p>
    <w:p>
      <w:pPr>
        <w:spacing w:line="520" w:lineRule="exact"/>
        <w:ind w:firstLine="560" w:firstLineChars="200"/>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要求研究生学历或硕士以上学位或副高以上职称的招聘岗位，当报考比（指通过网上报名资格初审的人数与拟聘人数之比，下同）不超过5:1时可以免笔试，但当报考比超过5:1（不含5:1）时，所有报考者均须参加笔试。</w:t>
      </w:r>
    </w:p>
    <w:p>
      <w:pPr>
        <w:spacing w:line="520" w:lineRule="exact"/>
        <w:ind w:firstLine="560" w:firstLineChars="200"/>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免笔试岗位由招聘单位于报名工作结束后结合报名情况提出，经厦门市卫生健康委员会（以下简称市卫健委）同意并报备厦门市人力资源和社会保障局（以下简称市人社局）后统一在招考系统公布。</w:t>
      </w:r>
    </w:p>
    <w:p>
      <w:pPr>
        <w:spacing w:line="520" w:lineRule="exact"/>
        <w:ind w:firstLine="560" w:firstLineChars="200"/>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笔试、面试通知将通过电话、短信、电子邮件等渠道发布，具体面试时间以通知为准，请应聘人员确认所留的联系方式准确无误并保持畅通，未收到面试或复试通知的应聘者，将不再另行通知。</w:t>
      </w:r>
    </w:p>
    <w:p>
      <w:pPr>
        <w:spacing w:line="520" w:lineRule="exact"/>
        <w:ind w:firstLine="561" w:firstLineChars="200"/>
        <w:rPr>
          <w:rFonts w:ascii="华文仿宋" w:hAnsi="华文仿宋" w:eastAsia="华文仿宋" w:cs="华文仿宋"/>
          <w:b/>
          <w:bCs/>
          <w:sz w:val="28"/>
          <w:szCs w:val="28"/>
          <w:highlight w:val="none"/>
        </w:rPr>
      </w:pPr>
      <w:r>
        <w:rPr>
          <w:rFonts w:hint="eastAsia" w:ascii="华文仿宋" w:hAnsi="华文仿宋" w:eastAsia="华文仿宋" w:cs="华文仿宋"/>
          <w:b/>
          <w:bCs/>
          <w:sz w:val="28"/>
          <w:szCs w:val="28"/>
          <w:highlight w:val="none"/>
        </w:rPr>
        <w:t>（一）笔试</w:t>
      </w:r>
    </w:p>
    <w:p>
      <w:pPr>
        <w:spacing w:line="520" w:lineRule="exact"/>
        <w:ind w:firstLine="560" w:firstLineChars="200"/>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1.笔试采取闭卷方式进行，卷面分为100分，由复旦大学附属肿瘤医院统一组织，笔试内容为岗位相关知识，题型全部为客观题。笔试时请正确填(涂)个人信息及报考岗位，否则以“0”分计。</w:t>
      </w:r>
    </w:p>
    <w:p>
      <w:pPr>
        <w:spacing w:line="520" w:lineRule="exact"/>
        <w:ind w:firstLine="560" w:firstLineChars="200"/>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2.符合笔试加分规定的加分对象、加分分值及所需证明材料等详见《招生简章》。</w:t>
      </w:r>
    </w:p>
    <w:p>
      <w:pPr>
        <w:spacing w:line="520" w:lineRule="exact"/>
        <w:ind w:firstLine="560" w:firstLineChars="200"/>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3.笔试成绩=笔试卷面分+各项加分，合格线为60分。</w:t>
      </w:r>
    </w:p>
    <w:p>
      <w:pPr>
        <w:spacing w:line="520" w:lineRule="exact"/>
        <w:ind w:firstLine="560" w:firstLineChars="200"/>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4.笔试加分原则</w:t>
      </w:r>
    </w:p>
    <w:p>
      <w:pPr>
        <w:spacing w:line="520" w:lineRule="exact"/>
        <w:ind w:firstLine="560" w:firstLineChars="200"/>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加分仅限于笔试卷面分，免笔试人员在面试环节不享受加分。加分不受笔试满分限制。各项加分可累计计算，但累计最高不超过10分。曾通过享受政策待遇被录（聘）为公务员或事业单位编内工作人员的，不再享受相应项目的加分。</w:t>
      </w:r>
    </w:p>
    <w:p>
      <w:pPr>
        <w:spacing w:line="520" w:lineRule="exact"/>
        <w:ind w:firstLine="560" w:firstLineChars="200"/>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参加厦门市事业单位补充工作人员笔试时，符合以下加分政策的报考人员享受笔试加分待遇：</w:t>
      </w:r>
    </w:p>
    <w:p>
      <w:pPr>
        <w:spacing w:line="520" w:lineRule="exact"/>
        <w:ind w:firstLine="560" w:firstLineChars="200"/>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（1） 服务基层项目高校毕业人员</w:t>
      </w:r>
    </w:p>
    <w:p>
      <w:pPr>
        <w:spacing w:line="520" w:lineRule="exact"/>
        <w:ind w:firstLine="560" w:firstLineChars="200"/>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参加国家和福建省组织实施的“三支一扶”计划、“志愿服务西部计划”(含研究生支教团)、“志愿服务欠发达地区计划”、大学生“村官”和“服务社区计划”，服务期限为1年及以上且于报名截止日前期满考核合格的福建户籍或福建生源高校毕业人员；服务期限2 年及以上且期满考核合格的服务基层项目毕业生，报考市属事业单位笔试卷面分加3分，报考区属事业单位笔试卷面分加5分；服务期限1 年及以上不满2年且期满考核合格的服务基层项目毕业生，报考市属事业单位不加分，报考区属事业单位笔试卷面分加5分。</w:t>
      </w:r>
    </w:p>
    <w:p>
      <w:pPr>
        <w:spacing w:line="520" w:lineRule="exact"/>
        <w:ind w:firstLine="560" w:firstLineChars="200"/>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（2）退役士兵 (含大学生退役士兵)</w:t>
      </w:r>
    </w:p>
    <w:p>
      <w:pPr>
        <w:spacing w:line="520" w:lineRule="exact"/>
        <w:ind w:firstLine="560" w:firstLineChars="200"/>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由福建省兵役机关批准入伍或福建生源的退役士兵(在福建省外应征入伍，但已于报名截止日前取得福建户籍的可参照)，可享受以下笔试卷面分加分：服役满13年以上的加 8 分;服役满9年至12年的加 6分;服役满6年至8年的加4分;服役满3年至5年的加2分;荣立二等功及以上的另加3分/次;荣立三等功的另加2分/次;获得优秀士官或优秀士兵或优秀义务兵荣誉称号的另加1分/次;伤残士兵另加3分;对在边防、高原、海岛等艰苦地区或从事飞行、舰艇工作5年及以上的，除享受以上加分外可再加3分；全日制普 通教育大专以上学历学生在校期间应征入伍且退役后继续完成学业的，毕业后加5分；全日制普通教育大专以上学历毕业生应征入伍的，退役后加5分。</w:t>
      </w:r>
    </w:p>
    <w:p>
      <w:pPr>
        <w:spacing w:line="520" w:lineRule="exact"/>
        <w:ind w:firstLine="560" w:firstLineChars="200"/>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（3）退役优秀运动员</w:t>
      </w:r>
    </w:p>
    <w:p>
      <w:pPr>
        <w:spacing w:line="520" w:lineRule="exact"/>
        <w:ind w:firstLine="560" w:firstLineChars="200"/>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厦门市退役优秀运动员，可享受以下笔试卷面分加分：曾获得世界体育三大比赛(奥运会、世锦赛、世界杯) 第2至第6名，亚洲体育三大比赛(亚运会、亚锦赛、亚洲杯)或全运会第2或第3名，全国锦标赛、全国冠军赛或篮球、排球、足球全国职业联赛第1名的，加9分；曾获得省运动会冠军，全国锦标赛、全国冠军赛或篮球、排球、足球全国 职业联赛第2或第3名，亚洲体育三大比赛 (亚运会、亚锦赛、亚洲杯) 第4至第6名的，加7分。</w:t>
      </w:r>
    </w:p>
    <w:p>
      <w:pPr>
        <w:spacing w:line="520" w:lineRule="exact"/>
        <w:ind w:firstLine="560" w:firstLineChars="200"/>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（4）加分证明材料</w:t>
      </w:r>
    </w:p>
    <w:p>
      <w:pPr>
        <w:spacing w:line="520" w:lineRule="exact"/>
        <w:ind w:firstLine="560" w:firstLineChars="200"/>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符合加分政策的报考者须在网上报名时如实填报和上传加分证明资料，并于网上报名期间向</w:t>
      </w:r>
      <w:r>
        <w:rPr>
          <w:rFonts w:hint="eastAsia" w:ascii="华文仿宋" w:hAnsi="华文仿宋" w:eastAsia="华文仿宋" w:cs="华文仿宋"/>
          <w:sz w:val="28"/>
          <w:szCs w:val="28"/>
          <w:highlight w:val="none"/>
          <w:lang w:val="en-US" w:eastAsia="zh-CN"/>
        </w:rPr>
        <w:t>复旦大学附属肿瘤医院厦门医院</w:t>
      </w:r>
      <w:r>
        <w:rPr>
          <w:rFonts w:hint="eastAsia" w:ascii="华文仿宋" w:hAnsi="华文仿宋" w:eastAsia="华文仿宋" w:cs="华文仿宋"/>
          <w:sz w:val="28"/>
          <w:szCs w:val="28"/>
          <w:highlight w:val="none"/>
        </w:rPr>
        <w:t>提交 (提交方式请联系</w:t>
      </w:r>
      <w:r>
        <w:rPr>
          <w:rFonts w:hint="eastAsia" w:ascii="华文仿宋" w:hAnsi="华文仿宋" w:eastAsia="华文仿宋" w:cs="华文仿宋"/>
          <w:sz w:val="28"/>
          <w:szCs w:val="28"/>
          <w:highlight w:val="none"/>
          <w:lang w:val="en-US" w:eastAsia="zh-CN"/>
        </w:rPr>
        <w:t>人事部，电话0592-6058818</w:t>
      </w:r>
      <w:r>
        <w:rPr>
          <w:rFonts w:hint="eastAsia" w:ascii="华文仿宋" w:hAnsi="华文仿宋" w:eastAsia="华文仿宋" w:cs="华文仿宋"/>
          <w:sz w:val="28"/>
          <w:szCs w:val="28"/>
          <w:highlight w:val="none"/>
        </w:rPr>
        <w:t>) 以下资料的原件及复印件(复印件需依序装订成册，一式 2 份) ，否则视为自动放弃享受加分政策：</w:t>
      </w:r>
    </w:p>
    <w:p>
      <w:pPr>
        <w:spacing w:line="520" w:lineRule="exact"/>
        <w:ind w:firstLine="560" w:firstLineChars="200"/>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1）基本资料：本人有效身份证正反面、户口本首页及个人页、学历 (位 ) 证；</w:t>
      </w:r>
    </w:p>
    <w:p>
      <w:pPr>
        <w:spacing w:line="520" w:lineRule="exact"/>
        <w:ind w:firstLine="560" w:firstLineChars="200"/>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2）证明资料：</w:t>
      </w:r>
    </w:p>
    <w:p>
      <w:pPr>
        <w:spacing w:line="520" w:lineRule="exact"/>
        <w:ind w:left="420" w:leftChars="200" w:firstLine="280" w:firstLineChars="100"/>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fldChar w:fldCharType="begin"/>
      </w:r>
      <w:r>
        <w:rPr>
          <w:rFonts w:hint="eastAsia" w:ascii="华文仿宋" w:hAnsi="华文仿宋" w:eastAsia="华文仿宋" w:cs="华文仿宋"/>
          <w:sz w:val="28"/>
          <w:szCs w:val="28"/>
          <w:highlight w:val="none"/>
        </w:rPr>
        <w:instrText xml:space="preserve"> = 1 \* GB3 \* MERGEFORMAT </w:instrText>
      </w:r>
      <w:r>
        <w:rPr>
          <w:rFonts w:hint="eastAsia" w:ascii="华文仿宋" w:hAnsi="华文仿宋" w:eastAsia="华文仿宋" w:cs="华文仿宋"/>
          <w:sz w:val="28"/>
          <w:szCs w:val="28"/>
          <w:highlight w:val="none"/>
        </w:rPr>
        <w:fldChar w:fldCharType="separate"/>
      </w:r>
      <w:r>
        <w:rPr>
          <w:rFonts w:hint="eastAsia" w:ascii="华文仿宋" w:hAnsi="华文仿宋" w:eastAsia="华文仿宋" w:cs="华文仿宋"/>
          <w:sz w:val="28"/>
          <w:szCs w:val="28"/>
          <w:highlight w:val="none"/>
        </w:rPr>
        <w:t>①</w:t>
      </w:r>
      <w:r>
        <w:rPr>
          <w:rFonts w:hint="eastAsia" w:ascii="华文仿宋" w:hAnsi="华文仿宋" w:eastAsia="华文仿宋" w:cs="华文仿宋"/>
          <w:sz w:val="28"/>
          <w:szCs w:val="28"/>
          <w:highlight w:val="none"/>
        </w:rPr>
        <w:fldChar w:fldCharType="end"/>
      </w:r>
      <w:r>
        <w:rPr>
          <w:rFonts w:hint="eastAsia" w:ascii="华文仿宋" w:hAnsi="华文仿宋" w:eastAsia="华文仿宋" w:cs="华文仿宋"/>
          <w:sz w:val="28"/>
          <w:szCs w:val="28"/>
          <w:highlight w:val="none"/>
        </w:rPr>
        <w:t>服务基层项目毕业生需提交组织实施相应项目的机构出具的</w:t>
      </w:r>
    </w:p>
    <w:p>
      <w:pPr>
        <w:spacing w:line="520" w:lineRule="exact"/>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务基层期满考核合格证书(或服务期满考核合格材料)及福建户籍或福建生源证明材料。</w:t>
      </w:r>
    </w:p>
    <w:p>
      <w:pPr>
        <w:spacing w:line="520" w:lineRule="exact"/>
        <w:ind w:left="400" w:firstLine="286" w:firstLineChars="100"/>
        <w:rPr>
          <w:rFonts w:ascii="华文仿宋" w:hAnsi="华文仿宋" w:eastAsia="华文仿宋" w:cs="华文仿宋"/>
          <w:sz w:val="28"/>
          <w:szCs w:val="28"/>
          <w:highlight w:val="none"/>
        </w:rPr>
      </w:pPr>
      <w:r>
        <w:rPr>
          <w:rFonts w:hint="eastAsia" w:ascii="华文仿宋" w:hAnsi="华文仿宋" w:eastAsia="华文仿宋" w:cs="华文仿宋"/>
          <w:spacing w:val="3"/>
          <w:sz w:val="28"/>
          <w:szCs w:val="28"/>
          <w:highlight w:val="none"/>
        </w:rPr>
        <w:fldChar w:fldCharType="begin"/>
      </w:r>
      <w:r>
        <w:rPr>
          <w:rFonts w:hint="eastAsia" w:ascii="华文仿宋" w:hAnsi="华文仿宋" w:eastAsia="华文仿宋" w:cs="华文仿宋"/>
          <w:spacing w:val="3"/>
          <w:sz w:val="28"/>
          <w:szCs w:val="28"/>
          <w:highlight w:val="none"/>
        </w:rPr>
        <w:instrText xml:space="preserve"> = 2 \* GB3 \* MERGEFORMAT </w:instrText>
      </w:r>
      <w:r>
        <w:rPr>
          <w:rFonts w:hint="eastAsia" w:ascii="华文仿宋" w:hAnsi="华文仿宋" w:eastAsia="华文仿宋" w:cs="华文仿宋"/>
          <w:spacing w:val="3"/>
          <w:sz w:val="28"/>
          <w:szCs w:val="28"/>
          <w:highlight w:val="none"/>
        </w:rPr>
        <w:fldChar w:fldCharType="separate"/>
      </w:r>
      <w:r>
        <w:rPr>
          <w:rFonts w:hint="eastAsia" w:ascii="华文仿宋" w:hAnsi="华文仿宋" w:eastAsia="华文仿宋" w:cs="华文仿宋"/>
          <w:sz w:val="28"/>
          <w:szCs w:val="28"/>
          <w:highlight w:val="none"/>
        </w:rPr>
        <w:t>②</w:t>
      </w:r>
      <w:r>
        <w:rPr>
          <w:rFonts w:hint="eastAsia" w:ascii="华文仿宋" w:hAnsi="华文仿宋" w:eastAsia="华文仿宋" w:cs="华文仿宋"/>
          <w:spacing w:val="3"/>
          <w:sz w:val="28"/>
          <w:szCs w:val="28"/>
          <w:highlight w:val="none"/>
        </w:rPr>
        <w:fldChar w:fldCharType="end"/>
      </w:r>
      <w:r>
        <w:rPr>
          <w:rFonts w:hint="eastAsia" w:ascii="华文仿宋" w:hAnsi="华文仿宋" w:eastAsia="华文仿宋" w:cs="华文仿宋"/>
          <w:spacing w:val="3"/>
          <w:sz w:val="28"/>
          <w:szCs w:val="28"/>
          <w:highlight w:val="none"/>
        </w:rPr>
        <w:t>符</w:t>
      </w:r>
      <w:r>
        <w:rPr>
          <w:rFonts w:hint="eastAsia" w:ascii="华文仿宋" w:hAnsi="华文仿宋" w:eastAsia="华文仿宋" w:cs="华文仿宋"/>
          <w:spacing w:val="2"/>
          <w:sz w:val="28"/>
          <w:szCs w:val="28"/>
          <w:highlight w:val="none"/>
        </w:rPr>
        <w:t>合加分政策的退役士兵(含大学生退役士兵)</w:t>
      </w:r>
      <w:r>
        <w:rPr>
          <w:rFonts w:hint="eastAsia" w:ascii="华文仿宋" w:hAnsi="华文仿宋" w:eastAsia="华文仿宋" w:cs="华文仿宋"/>
          <w:sz w:val="28"/>
          <w:szCs w:val="28"/>
          <w:highlight w:val="none"/>
        </w:rPr>
        <w:t>安置在厦门市</w:t>
      </w:r>
    </w:p>
    <w:p>
      <w:pPr>
        <w:spacing w:line="520" w:lineRule="exact"/>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的，可于上班时间持身份证、退伍证前往安置 地区级退役军人事务局开具证明；安置在厦门市以外的，可 由安置地县级及以上退役军人事务部门开具证明。此前已由 相关部门开具的证明继续有效。</w:t>
      </w:r>
    </w:p>
    <w:p>
      <w:pPr>
        <w:spacing w:line="520" w:lineRule="exact"/>
        <w:ind w:firstLine="560" w:firstLineChars="200"/>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fldChar w:fldCharType="begin"/>
      </w:r>
      <w:r>
        <w:rPr>
          <w:rFonts w:hint="eastAsia" w:ascii="华文仿宋" w:hAnsi="华文仿宋" w:eastAsia="华文仿宋" w:cs="华文仿宋"/>
          <w:sz w:val="28"/>
          <w:szCs w:val="28"/>
          <w:highlight w:val="none"/>
        </w:rPr>
        <w:instrText xml:space="preserve"> = 3 \* GB3 \* MERGEFORMAT </w:instrText>
      </w:r>
      <w:r>
        <w:rPr>
          <w:rFonts w:hint="eastAsia" w:ascii="华文仿宋" w:hAnsi="华文仿宋" w:eastAsia="华文仿宋" w:cs="华文仿宋"/>
          <w:sz w:val="28"/>
          <w:szCs w:val="28"/>
          <w:highlight w:val="none"/>
        </w:rPr>
        <w:fldChar w:fldCharType="separate"/>
      </w:r>
      <w:r>
        <w:rPr>
          <w:rFonts w:hint="eastAsia" w:ascii="华文仿宋" w:hAnsi="华文仿宋" w:eastAsia="华文仿宋" w:cs="华文仿宋"/>
          <w:sz w:val="28"/>
          <w:szCs w:val="28"/>
          <w:highlight w:val="none"/>
        </w:rPr>
        <w:t>③</w:t>
      </w:r>
      <w:r>
        <w:rPr>
          <w:rFonts w:hint="eastAsia" w:ascii="华文仿宋" w:hAnsi="华文仿宋" w:eastAsia="华文仿宋" w:cs="华文仿宋"/>
          <w:sz w:val="28"/>
          <w:szCs w:val="28"/>
          <w:highlight w:val="none"/>
        </w:rPr>
        <w:fldChar w:fldCharType="end"/>
      </w:r>
      <w:r>
        <w:rPr>
          <w:rFonts w:hint="eastAsia" w:ascii="华文仿宋" w:hAnsi="华文仿宋" w:eastAsia="华文仿宋" w:cs="华文仿宋"/>
          <w:sz w:val="28"/>
          <w:szCs w:val="28"/>
          <w:highlight w:val="none"/>
        </w:rPr>
        <w:t>符合加分政策的厦门市退役优秀运动员可持相应奖项证书前往厦门市体育局人事处开具证明材料(联系电话0592-5339323)。</w:t>
      </w:r>
    </w:p>
    <w:p>
      <w:pPr>
        <w:spacing w:line="520" w:lineRule="exact"/>
        <w:ind w:firstLine="561" w:firstLineChars="200"/>
        <w:rPr>
          <w:rFonts w:ascii="华文仿宋" w:hAnsi="华文仿宋" w:eastAsia="华文仿宋" w:cs="华文仿宋"/>
          <w:b/>
          <w:bCs/>
          <w:sz w:val="28"/>
          <w:szCs w:val="28"/>
          <w:highlight w:val="none"/>
        </w:rPr>
      </w:pPr>
      <w:r>
        <w:rPr>
          <w:rFonts w:hint="eastAsia" w:ascii="华文仿宋" w:hAnsi="华文仿宋" w:eastAsia="华文仿宋" w:cs="华文仿宋"/>
          <w:b/>
          <w:bCs/>
          <w:sz w:val="28"/>
          <w:szCs w:val="28"/>
          <w:highlight w:val="none"/>
        </w:rPr>
        <w:t>（二）资格复核</w:t>
      </w:r>
    </w:p>
    <w:p>
      <w:pPr>
        <w:spacing w:line="520" w:lineRule="exact"/>
        <w:ind w:firstLine="560" w:firstLineChars="200"/>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资格复核由市卫健委指导我院开展。从笔试成绩达到合格线的考生中，按岗位拟聘人数与拟面试人数1 ：3的比例，从高分至低分确定资格复核人选。笔试成绩合格人数达不到规定比例的，按笔试成绩合格实际人数确定。免笔试岗位的报考者均须参加资格复核。</w:t>
      </w:r>
    </w:p>
    <w:p>
      <w:pPr>
        <w:spacing w:line="520" w:lineRule="exact"/>
        <w:ind w:firstLine="560" w:firstLineChars="200"/>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资格复核人选及时间、地点等事项安排，将以电话、短信、电子邮件等渠道通知。资格复核需提供的资料明细详见《招生简章》。通过资格复核的考生可获取《面试通知书》。未在指定时间、地点参加资格复核的，视为自动放弃面试资格。</w:t>
      </w:r>
    </w:p>
    <w:p>
      <w:pPr>
        <w:spacing w:line="520" w:lineRule="exact"/>
        <w:ind w:firstLine="561" w:firstLineChars="200"/>
        <w:rPr>
          <w:rFonts w:ascii="华文仿宋" w:hAnsi="华文仿宋" w:eastAsia="华文仿宋" w:cs="华文仿宋"/>
          <w:b/>
          <w:bCs/>
          <w:sz w:val="28"/>
          <w:szCs w:val="28"/>
          <w:highlight w:val="none"/>
        </w:rPr>
      </w:pPr>
      <w:r>
        <w:rPr>
          <w:rFonts w:hint="eastAsia" w:ascii="华文仿宋" w:hAnsi="华文仿宋" w:eastAsia="华文仿宋" w:cs="华文仿宋"/>
          <w:b/>
          <w:bCs/>
          <w:sz w:val="28"/>
          <w:szCs w:val="28"/>
          <w:highlight w:val="none"/>
        </w:rPr>
        <w:t>（三）面试</w:t>
      </w:r>
    </w:p>
    <w:p>
      <w:pPr>
        <w:spacing w:line="520" w:lineRule="exact"/>
        <w:ind w:firstLine="560" w:firstLineChars="200"/>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面试具体时间、地点届时详见《面试通知书》，参加面试人员为通过资格复核人员。面试满分为100分，合格线为60分；实际参加面试人数（以面试当天实际参考人数为准）与拟聘人数比例等于或低于1:1的，该岗位面试成绩合格线为70分。</w:t>
      </w:r>
    </w:p>
    <w:p>
      <w:pPr>
        <w:spacing w:line="520" w:lineRule="exact"/>
        <w:ind w:firstLine="560" w:firstLineChars="200"/>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每人结合PowerPoint，准备3分钟的发言，不得超时；以中文形式制作PowerPoint，PowerPoint和口头汇报中均不得出现导师情况。</w:t>
      </w:r>
      <w:bookmarkStart w:id="160" w:name="_Toc18359_WPSOffice_Level1"/>
      <w:bookmarkStart w:id="161" w:name="_Toc1601"/>
      <w:bookmarkStart w:id="162" w:name="_Toc29002"/>
      <w:bookmarkStart w:id="163" w:name="_Toc25623"/>
      <w:bookmarkStart w:id="164" w:name="_Toc5722"/>
      <w:bookmarkStart w:id="165" w:name="_Toc3536"/>
      <w:bookmarkStart w:id="166" w:name="_Toc25367"/>
      <w:bookmarkStart w:id="167" w:name="_Toc13970"/>
      <w:bookmarkStart w:id="168" w:name="_Toc1149"/>
      <w:bookmarkStart w:id="169" w:name="_Toc7131"/>
      <w:r>
        <w:rPr>
          <w:rFonts w:hint="eastAsia" w:ascii="华文仿宋" w:hAnsi="华文仿宋" w:eastAsia="华文仿宋" w:cs="华文仿宋"/>
          <w:sz w:val="28"/>
          <w:szCs w:val="28"/>
          <w:highlight w:val="none"/>
        </w:rPr>
        <w:t>面试主要测试考生的专业技能和综合素质，由面试评委当场打分。</w:t>
      </w:r>
    </w:p>
    <w:p>
      <w:pPr>
        <w:spacing w:line="520" w:lineRule="exact"/>
        <w:ind w:firstLine="561" w:firstLineChars="200"/>
        <w:rPr>
          <w:rFonts w:ascii="华文仿宋" w:hAnsi="华文仿宋" w:eastAsia="华文仿宋" w:cs="华文仿宋"/>
          <w:b/>
          <w:bCs/>
          <w:sz w:val="28"/>
          <w:szCs w:val="28"/>
          <w:highlight w:val="none"/>
        </w:rPr>
      </w:pPr>
      <w:r>
        <w:rPr>
          <w:rFonts w:hint="eastAsia" w:ascii="华文仿宋" w:hAnsi="华文仿宋" w:eastAsia="华文仿宋" w:cs="华文仿宋"/>
          <w:b/>
          <w:bCs/>
          <w:sz w:val="28"/>
          <w:szCs w:val="28"/>
          <w:highlight w:val="none"/>
        </w:rPr>
        <w:t>（四）综合总分计算</w:t>
      </w:r>
    </w:p>
    <w:p>
      <w:pPr>
        <w:spacing w:line="520" w:lineRule="exact"/>
        <w:ind w:firstLine="560" w:firstLineChars="200"/>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综合总分合格线为60分，其中：</w:t>
      </w:r>
    </w:p>
    <w:p>
      <w:pPr>
        <w:pStyle w:val="10"/>
        <w:widowControl w:val="0"/>
        <w:shd w:val="clear" w:color="auto" w:fill="FFFFFF"/>
        <w:adjustRightInd w:val="0"/>
        <w:spacing w:before="0" w:beforeAutospacing="0" w:after="0" w:afterAutospacing="0" w:line="360" w:lineRule="auto"/>
        <w:ind w:firstLine="560" w:firstLineChars="200"/>
        <w:rPr>
          <w:rFonts w:ascii="华文仿宋" w:hAnsi="华文仿宋" w:eastAsia="华文仿宋" w:cs="华文仿宋"/>
          <w:kern w:val="2"/>
          <w:sz w:val="28"/>
          <w:szCs w:val="28"/>
          <w:highlight w:val="none"/>
        </w:rPr>
      </w:pPr>
      <w:r>
        <w:rPr>
          <w:rFonts w:hint="eastAsia" w:ascii="华文仿宋" w:hAnsi="华文仿宋" w:eastAsia="华文仿宋" w:cs="华文仿宋"/>
          <w:kern w:val="2"/>
          <w:sz w:val="28"/>
          <w:szCs w:val="28"/>
          <w:highlight w:val="none"/>
        </w:rPr>
        <w:t>1.免笔试的岗位：综合总分=面试成绩；</w:t>
      </w:r>
    </w:p>
    <w:p>
      <w:pPr>
        <w:pStyle w:val="10"/>
        <w:widowControl w:val="0"/>
        <w:shd w:val="clear" w:color="auto" w:fill="FFFFFF"/>
        <w:adjustRightInd w:val="0"/>
        <w:spacing w:before="0" w:beforeAutospacing="0" w:after="0" w:afterAutospacing="0" w:line="360" w:lineRule="auto"/>
        <w:ind w:firstLine="560" w:firstLineChars="200"/>
        <w:rPr>
          <w:rFonts w:ascii="华文仿宋" w:hAnsi="华文仿宋" w:eastAsia="华文仿宋" w:cs="华文仿宋"/>
          <w:kern w:val="2"/>
          <w:sz w:val="28"/>
          <w:szCs w:val="28"/>
          <w:highlight w:val="none"/>
        </w:rPr>
      </w:pPr>
      <w:r>
        <w:rPr>
          <w:rFonts w:hint="eastAsia" w:ascii="华文仿宋" w:hAnsi="华文仿宋" w:eastAsia="华文仿宋" w:cs="华文仿宋"/>
          <w:kern w:val="2"/>
          <w:sz w:val="28"/>
          <w:szCs w:val="28"/>
          <w:highlight w:val="none"/>
        </w:rPr>
        <w:t>2.需要笔试的岗位：综合总分=笔试成绩×50%+面试成绩×50%。</w:t>
      </w:r>
    </w:p>
    <w:p>
      <w:pPr>
        <w:spacing w:line="520" w:lineRule="exact"/>
        <w:ind w:firstLine="560" w:firstLineChars="200"/>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笔试成绩、面试成绩、综合总分均采用四舍五入方式取小数点后 2 位 (必要时可增加小数点位数) 。综合总分相同者，按以下规则进一步确定名次排列：</w:t>
      </w:r>
    </w:p>
    <w:p>
      <w:pPr>
        <w:spacing w:line="520" w:lineRule="exact"/>
        <w:ind w:firstLine="560" w:firstLineChars="200"/>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1.按笔试成绩从高到低排列；</w:t>
      </w:r>
    </w:p>
    <w:p>
      <w:pPr>
        <w:spacing w:line="520" w:lineRule="exact"/>
        <w:ind w:firstLine="560" w:firstLineChars="200"/>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2.若笔试成绩又相同，按面试成绩排列；</w:t>
      </w:r>
    </w:p>
    <w:p>
      <w:pPr>
        <w:spacing w:line="520" w:lineRule="exact"/>
        <w:ind w:firstLine="560" w:firstLineChars="200"/>
        <w:rPr>
          <w:rFonts w:ascii="华文仿宋" w:hAnsi="华文仿宋" w:eastAsia="华文仿宋" w:cs="华文仿宋"/>
          <w:spacing w:val="8"/>
          <w:sz w:val="28"/>
          <w:szCs w:val="28"/>
          <w:highlight w:val="none"/>
        </w:rPr>
      </w:pPr>
      <w:r>
        <w:rPr>
          <w:rFonts w:hint="eastAsia" w:ascii="华文仿宋" w:hAnsi="华文仿宋" w:eastAsia="华文仿宋" w:cs="华文仿宋"/>
          <w:sz w:val="28"/>
          <w:szCs w:val="28"/>
          <w:highlight w:val="none"/>
        </w:rPr>
        <w:t>3.若面试成绩依然相同，符合国家、福建省或厦门市文件规定优先对象的，优先进入体检环节。若无优先对象，可由考生协商一致的情况下签名同意自行采取简易方式确</w:t>
      </w:r>
      <w:r>
        <w:rPr>
          <w:rFonts w:hint="eastAsia" w:ascii="华文仿宋" w:hAnsi="华文仿宋" w:eastAsia="华文仿宋" w:cs="华文仿宋"/>
          <w:spacing w:val="9"/>
          <w:sz w:val="28"/>
          <w:szCs w:val="28"/>
          <w:highlight w:val="none"/>
        </w:rPr>
        <w:t>定最终进入体检环节人选，或由面试组织部门重新组织专</w:t>
      </w:r>
      <w:r>
        <w:rPr>
          <w:rFonts w:hint="eastAsia" w:ascii="华文仿宋" w:hAnsi="华文仿宋" w:eastAsia="华文仿宋" w:cs="华文仿宋"/>
          <w:spacing w:val="4"/>
          <w:sz w:val="28"/>
          <w:szCs w:val="28"/>
          <w:highlight w:val="none"/>
        </w:rPr>
        <w:t>项</w:t>
      </w:r>
      <w:r>
        <w:rPr>
          <w:rFonts w:hint="eastAsia" w:ascii="华文仿宋" w:hAnsi="华文仿宋" w:eastAsia="华文仿宋" w:cs="华文仿宋"/>
          <w:spacing w:val="10"/>
          <w:sz w:val="28"/>
          <w:szCs w:val="28"/>
          <w:highlight w:val="none"/>
        </w:rPr>
        <w:t>面</w:t>
      </w:r>
      <w:r>
        <w:rPr>
          <w:rFonts w:hint="eastAsia" w:ascii="华文仿宋" w:hAnsi="华文仿宋" w:eastAsia="华文仿宋" w:cs="华文仿宋"/>
          <w:spacing w:val="8"/>
          <w:sz w:val="28"/>
          <w:szCs w:val="28"/>
          <w:highlight w:val="none"/>
        </w:rPr>
        <w:t>试，取重新面试成绩较高者进入体检环节。</w:t>
      </w:r>
    </w:p>
    <w:p>
      <w:pPr>
        <w:spacing w:line="520" w:lineRule="exact"/>
        <w:ind w:firstLine="640"/>
        <w:rPr>
          <w:rFonts w:ascii="华文仿宋" w:hAnsi="华文仿宋" w:eastAsia="华文仿宋" w:cs="华文仿宋"/>
          <w:b/>
          <w:bCs/>
          <w:sz w:val="28"/>
          <w:szCs w:val="28"/>
          <w:highlight w:val="none"/>
        </w:rPr>
      </w:pPr>
      <w:r>
        <w:rPr>
          <w:rFonts w:hint="eastAsia" w:ascii="华文仿宋" w:hAnsi="华文仿宋" w:eastAsia="华文仿宋" w:cs="华文仿宋"/>
          <w:b/>
          <w:bCs/>
          <w:sz w:val="28"/>
          <w:szCs w:val="28"/>
          <w:highlight w:val="none"/>
        </w:rPr>
        <w:t>九、</w:t>
      </w:r>
      <w:bookmarkEnd w:id="160"/>
      <w:r>
        <w:rPr>
          <w:rFonts w:hint="eastAsia" w:ascii="华文仿宋" w:hAnsi="华文仿宋" w:eastAsia="华文仿宋" w:cs="华文仿宋"/>
          <w:b/>
          <w:bCs/>
          <w:sz w:val="28"/>
          <w:szCs w:val="28"/>
          <w:highlight w:val="none"/>
        </w:rPr>
        <w:t>体检</w:t>
      </w:r>
      <w:bookmarkEnd w:id="161"/>
      <w:bookmarkEnd w:id="162"/>
      <w:bookmarkEnd w:id="163"/>
      <w:bookmarkEnd w:id="164"/>
      <w:bookmarkEnd w:id="165"/>
      <w:bookmarkEnd w:id="166"/>
      <w:bookmarkEnd w:id="167"/>
      <w:bookmarkEnd w:id="168"/>
      <w:bookmarkEnd w:id="169"/>
      <w:bookmarkStart w:id="170" w:name="_Toc28695"/>
      <w:bookmarkStart w:id="171" w:name="_Toc27190"/>
      <w:bookmarkStart w:id="172" w:name="_Toc27514"/>
      <w:bookmarkStart w:id="173" w:name="_Toc6406"/>
      <w:bookmarkStart w:id="174" w:name="_Toc14108"/>
      <w:bookmarkStart w:id="175" w:name="_Toc19599"/>
      <w:bookmarkStart w:id="176" w:name="_Toc27716"/>
      <w:bookmarkStart w:id="177" w:name="_Toc3"/>
      <w:bookmarkStart w:id="178" w:name="_Toc32234"/>
    </w:p>
    <w:p>
      <w:pPr>
        <w:spacing w:line="520" w:lineRule="exact"/>
        <w:ind w:firstLine="640"/>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（一）确定体检人选</w:t>
      </w:r>
      <w:bookmarkEnd w:id="170"/>
      <w:bookmarkEnd w:id="171"/>
      <w:bookmarkEnd w:id="172"/>
      <w:bookmarkEnd w:id="173"/>
      <w:bookmarkEnd w:id="174"/>
      <w:bookmarkEnd w:id="175"/>
      <w:bookmarkEnd w:id="176"/>
      <w:bookmarkEnd w:id="177"/>
      <w:bookmarkEnd w:id="178"/>
      <w:bookmarkStart w:id="179" w:name="_Toc31894"/>
      <w:bookmarkStart w:id="180" w:name="_Toc15471"/>
      <w:bookmarkStart w:id="181" w:name="_Toc29898"/>
      <w:bookmarkStart w:id="182" w:name="_Toc10127"/>
      <w:bookmarkStart w:id="183" w:name="_Toc4875"/>
      <w:bookmarkStart w:id="184" w:name="_Toc17027"/>
      <w:bookmarkStart w:id="185" w:name="_Toc5078"/>
      <w:bookmarkStart w:id="186" w:name="_Toc28613"/>
      <w:bookmarkStart w:id="187" w:name="_Toc25487"/>
    </w:p>
    <w:p>
      <w:pPr>
        <w:spacing w:line="520" w:lineRule="exact"/>
        <w:ind w:firstLine="640"/>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笔试、面试成绩分别乘以50%后相加折算成综合总分，免笔试人员应聘的按面试成绩即为综合总分，从笔试、面试、综合总分成绩均合格者中，根据综合总分排名顺序，按岗位拟招聘人数1:1的比例从高分至低分确定体检人选。体检合格者列入考察对象。收到体检通知的人员请按指定时间和地点参加体检。</w:t>
      </w:r>
    </w:p>
    <w:p>
      <w:pPr>
        <w:pStyle w:val="2"/>
        <w:spacing w:line="520" w:lineRule="exact"/>
        <w:ind w:firstLine="549" w:firstLineChars="196"/>
        <w:rPr>
          <w:rFonts w:ascii="华文仿宋" w:hAnsi="华文仿宋" w:eastAsia="华文仿宋" w:cs="华文仿宋"/>
          <w:bCs/>
          <w:kern w:val="2"/>
          <w:sz w:val="28"/>
          <w:szCs w:val="28"/>
          <w:highlight w:val="none"/>
        </w:rPr>
      </w:pPr>
      <w:r>
        <w:rPr>
          <w:rFonts w:hint="eastAsia" w:ascii="华文仿宋" w:hAnsi="华文仿宋" w:eastAsia="华文仿宋" w:cs="华文仿宋"/>
          <w:bCs/>
          <w:kern w:val="2"/>
          <w:sz w:val="28"/>
          <w:szCs w:val="28"/>
          <w:highlight w:val="none"/>
        </w:rPr>
        <w:t>（二）组织体检</w:t>
      </w:r>
      <w:bookmarkEnd w:id="179"/>
      <w:bookmarkEnd w:id="180"/>
      <w:bookmarkEnd w:id="181"/>
      <w:bookmarkEnd w:id="182"/>
      <w:bookmarkEnd w:id="183"/>
      <w:bookmarkEnd w:id="184"/>
      <w:bookmarkEnd w:id="185"/>
      <w:bookmarkEnd w:id="186"/>
      <w:bookmarkEnd w:id="187"/>
    </w:p>
    <w:p>
      <w:pPr>
        <w:widowControl/>
        <w:spacing w:line="520" w:lineRule="exact"/>
        <w:ind w:firstLine="560" w:firstLineChars="200"/>
        <w:jc w:val="left"/>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体检人员应根据招聘单位通知要求按时参加并配合体检，否则视为自动放弃体检资格。</w:t>
      </w:r>
    </w:p>
    <w:p>
      <w:pPr>
        <w:pStyle w:val="2"/>
        <w:spacing w:line="520" w:lineRule="exact"/>
        <w:ind w:firstLine="549" w:firstLineChars="196"/>
        <w:rPr>
          <w:rFonts w:ascii="华文仿宋" w:hAnsi="华文仿宋" w:eastAsia="华文仿宋" w:cs="华文仿宋"/>
          <w:sz w:val="28"/>
          <w:szCs w:val="28"/>
          <w:highlight w:val="none"/>
        </w:rPr>
      </w:pPr>
      <w:bookmarkStart w:id="188" w:name="_Toc14139"/>
      <w:bookmarkStart w:id="189" w:name="_Toc5442"/>
      <w:bookmarkStart w:id="190" w:name="_Toc21764"/>
      <w:bookmarkStart w:id="191" w:name="_Toc23865"/>
      <w:bookmarkStart w:id="192" w:name="_Toc8135"/>
      <w:bookmarkStart w:id="193" w:name="_Toc12596"/>
      <w:bookmarkStart w:id="194" w:name="_Toc12750"/>
      <w:bookmarkStart w:id="195" w:name="_Toc20421"/>
      <w:bookmarkStart w:id="196" w:name="_Toc30279"/>
      <w:r>
        <w:rPr>
          <w:rFonts w:hint="eastAsia" w:ascii="华文仿宋" w:hAnsi="华文仿宋" w:eastAsia="华文仿宋" w:cs="华文仿宋"/>
          <w:sz w:val="28"/>
          <w:szCs w:val="28"/>
          <w:highlight w:val="none"/>
        </w:rPr>
        <w:t>（三）体检依据</w:t>
      </w:r>
      <w:bookmarkEnd w:id="188"/>
      <w:bookmarkEnd w:id="189"/>
      <w:bookmarkEnd w:id="190"/>
      <w:bookmarkEnd w:id="191"/>
      <w:bookmarkEnd w:id="192"/>
      <w:bookmarkEnd w:id="193"/>
      <w:bookmarkEnd w:id="194"/>
      <w:bookmarkEnd w:id="195"/>
      <w:bookmarkEnd w:id="196"/>
    </w:p>
    <w:p>
      <w:pPr>
        <w:spacing w:line="520" w:lineRule="exact"/>
        <w:ind w:firstLine="560" w:firstLineChars="200"/>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本次招聘体检参照《公务员录用体检通用标准（试行）》和《公务员录用体检操作手册（试行）》和《关于修订〈公务员录用体检通用标准（试行）〉及〈公务员录用体检操作手册（试行）〉的通知》（人社部发〔2016〕140号）等文件的要求，特殊岗位有相应体检标准的可另行要求。具体检测方法由体检医院结合实际确定，体检结论以体检医院出具的体检报告为准。</w:t>
      </w:r>
    </w:p>
    <w:p>
      <w:pPr>
        <w:spacing w:line="520" w:lineRule="exact"/>
        <w:ind w:firstLine="640"/>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从事放射岗位人员还需根据《放射工作人员职业健康监护技术规范》（卫通〔2011〕2号）完成岗前必检项目的体检。从事医学检验、生物制药、生物材料工程岗位人员体检结果还应满足《公务员录用体检特殊标准（试行）》（人社部发〔2010〕82号）对身体条件的要求。体（复）检费用个人自理。凡在体检中弄虚作假或隐瞒真实身体状况的人员，取消聘用资格。</w:t>
      </w:r>
      <w:r>
        <w:rPr>
          <w:rFonts w:hint="eastAsia" w:ascii="华文仿宋" w:hAnsi="华文仿宋" w:eastAsia="华文仿宋" w:cs="华文仿宋"/>
          <w:spacing w:val="11"/>
          <w:sz w:val="28"/>
          <w:szCs w:val="28"/>
          <w:highlight w:val="none"/>
        </w:rPr>
        <w:t>体</w:t>
      </w:r>
      <w:r>
        <w:rPr>
          <w:rFonts w:hint="eastAsia" w:ascii="华文仿宋" w:hAnsi="华文仿宋" w:eastAsia="华文仿宋" w:cs="华文仿宋"/>
          <w:spacing w:val="7"/>
          <w:sz w:val="28"/>
          <w:szCs w:val="28"/>
          <w:highlight w:val="none"/>
        </w:rPr>
        <w:t xml:space="preserve"> (复) 检费用个人自理。</w:t>
      </w:r>
    </w:p>
    <w:p>
      <w:pPr>
        <w:pStyle w:val="2"/>
        <w:spacing w:line="520" w:lineRule="exact"/>
        <w:ind w:firstLine="549" w:firstLineChars="196"/>
        <w:rPr>
          <w:rFonts w:ascii="华文仿宋" w:hAnsi="华文仿宋" w:eastAsia="华文仿宋" w:cs="华文仿宋"/>
          <w:sz w:val="28"/>
          <w:szCs w:val="28"/>
          <w:highlight w:val="none"/>
        </w:rPr>
      </w:pPr>
      <w:bookmarkStart w:id="197" w:name="_Toc20382"/>
      <w:bookmarkStart w:id="198" w:name="_Toc30928"/>
      <w:bookmarkStart w:id="199" w:name="_Toc13607"/>
      <w:bookmarkStart w:id="200" w:name="_Toc21509"/>
      <w:bookmarkStart w:id="201" w:name="_Toc29748"/>
      <w:bookmarkStart w:id="202" w:name="_Toc16484"/>
      <w:bookmarkStart w:id="203" w:name="_Toc23446"/>
      <w:bookmarkStart w:id="204" w:name="_Toc13211"/>
      <w:bookmarkStart w:id="205" w:name="_Toc16762"/>
      <w:r>
        <w:rPr>
          <w:rFonts w:hint="eastAsia" w:ascii="华文仿宋" w:hAnsi="华文仿宋" w:eastAsia="华文仿宋" w:cs="华文仿宋"/>
          <w:sz w:val="28"/>
          <w:szCs w:val="28"/>
          <w:highlight w:val="none"/>
        </w:rPr>
        <w:t>（四）体检复检</w:t>
      </w:r>
      <w:bookmarkEnd w:id="197"/>
      <w:bookmarkEnd w:id="198"/>
      <w:bookmarkEnd w:id="199"/>
      <w:bookmarkEnd w:id="200"/>
      <w:bookmarkEnd w:id="201"/>
      <w:bookmarkEnd w:id="202"/>
      <w:bookmarkEnd w:id="203"/>
      <w:bookmarkEnd w:id="204"/>
      <w:bookmarkEnd w:id="205"/>
    </w:p>
    <w:p>
      <w:pPr>
        <w:spacing w:line="520" w:lineRule="exact"/>
        <w:ind w:firstLine="560" w:firstLineChars="200"/>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复检参照人力资源社会保障部、卫生部、国家公务员局《关于进一步做好公务员考试录用体检工作的通知》(人社部发〔2012〕65号)的有关规定执行，其中：</w:t>
      </w:r>
    </w:p>
    <w:p>
      <w:pPr>
        <w:spacing w:line="520" w:lineRule="exact"/>
        <w:ind w:firstLine="560" w:firstLineChars="200"/>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1.对心率、视力、听力、血压等项目达不到体检合格标准的，安排当日复检；对边缘性心脏杂音、病理性心电图、病理性杂音、频发早搏（心电图证实）等项目达不到体检合格标准的，安排当场复检。</w:t>
      </w:r>
    </w:p>
    <w:p>
      <w:pPr>
        <w:widowControl/>
        <w:spacing w:line="520" w:lineRule="exact"/>
        <w:ind w:firstLine="560" w:firstLineChars="200"/>
        <w:jc w:val="left"/>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2.体检人员对非当日或非当场复检的体检项目结果有疑义的，可在接到体检结论的7日内提出复检申请。复检时不得告知复检项目。复检只能进行1次，体检结论以复检的结果为准。自行体检的结果一律无效。</w:t>
      </w:r>
    </w:p>
    <w:p>
      <w:pPr>
        <w:spacing w:line="520" w:lineRule="exact"/>
        <w:ind w:firstLine="560" w:firstLineChars="200"/>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3.招聘单位对体检人员体检结论有疑义的，也可在接到体检结论通知之日起7日内决定是否安排体检人员复检。</w:t>
      </w:r>
    </w:p>
    <w:p>
      <w:pPr>
        <w:pStyle w:val="2"/>
        <w:spacing w:line="520" w:lineRule="exact"/>
        <w:ind w:firstLine="549" w:firstLineChars="196"/>
        <w:rPr>
          <w:rFonts w:ascii="华文仿宋" w:hAnsi="华文仿宋" w:eastAsia="华文仿宋" w:cs="华文仿宋"/>
          <w:sz w:val="28"/>
          <w:szCs w:val="28"/>
          <w:highlight w:val="none"/>
        </w:rPr>
      </w:pPr>
      <w:bookmarkStart w:id="206" w:name="_Toc739"/>
      <w:bookmarkStart w:id="207" w:name="_Toc22708"/>
      <w:bookmarkStart w:id="208" w:name="_Toc28493"/>
      <w:bookmarkStart w:id="209" w:name="_Toc647"/>
      <w:bookmarkStart w:id="210" w:name="_Toc4346"/>
      <w:bookmarkStart w:id="211" w:name="_Toc28126"/>
      <w:bookmarkStart w:id="212" w:name="_Toc8084"/>
      <w:bookmarkStart w:id="213" w:name="_Toc32448"/>
      <w:bookmarkStart w:id="214" w:name="_Toc11349"/>
      <w:r>
        <w:rPr>
          <w:rFonts w:hint="eastAsia" w:ascii="华文仿宋" w:hAnsi="华文仿宋" w:eastAsia="华文仿宋" w:cs="华文仿宋"/>
          <w:sz w:val="28"/>
          <w:szCs w:val="28"/>
          <w:highlight w:val="none"/>
        </w:rPr>
        <w:t>（五）可延迟体检的情形</w:t>
      </w:r>
      <w:bookmarkEnd w:id="206"/>
      <w:bookmarkEnd w:id="207"/>
      <w:bookmarkEnd w:id="208"/>
      <w:bookmarkEnd w:id="209"/>
      <w:bookmarkEnd w:id="210"/>
      <w:bookmarkEnd w:id="211"/>
      <w:bookmarkEnd w:id="212"/>
      <w:bookmarkEnd w:id="213"/>
      <w:bookmarkEnd w:id="214"/>
    </w:p>
    <w:p>
      <w:pPr>
        <w:spacing w:line="520" w:lineRule="exact"/>
        <w:ind w:firstLine="560" w:firstLineChars="200"/>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女性报考者因怀孕、哺乳期需申请延期体检的，须提供相应的医学证明，由招聘单位确定延缓体检的合理期限。</w:t>
      </w:r>
    </w:p>
    <w:p>
      <w:pPr>
        <w:pStyle w:val="2"/>
        <w:spacing w:line="520" w:lineRule="exact"/>
        <w:ind w:firstLine="549" w:firstLineChars="196"/>
        <w:rPr>
          <w:rFonts w:ascii="华文仿宋" w:hAnsi="华文仿宋" w:eastAsia="华文仿宋" w:cs="华文仿宋"/>
          <w:sz w:val="28"/>
          <w:szCs w:val="28"/>
          <w:highlight w:val="none"/>
        </w:rPr>
      </w:pPr>
      <w:bookmarkStart w:id="215" w:name="_Toc1565"/>
      <w:bookmarkStart w:id="216" w:name="_Toc2243"/>
      <w:bookmarkStart w:id="217" w:name="_Toc5225"/>
      <w:bookmarkStart w:id="218" w:name="_Toc28818"/>
      <w:bookmarkStart w:id="219" w:name="_Toc8472"/>
      <w:bookmarkStart w:id="220" w:name="_Toc13622"/>
      <w:bookmarkStart w:id="221" w:name="_Toc24411"/>
      <w:bookmarkStart w:id="222" w:name="_Toc3411"/>
      <w:bookmarkStart w:id="223" w:name="_Toc32366"/>
      <w:r>
        <w:rPr>
          <w:rFonts w:hint="eastAsia" w:ascii="华文仿宋" w:hAnsi="华文仿宋" w:eastAsia="华文仿宋" w:cs="华文仿宋"/>
          <w:sz w:val="28"/>
          <w:szCs w:val="28"/>
          <w:highlight w:val="none"/>
        </w:rPr>
        <w:t>十、考察</w:t>
      </w:r>
      <w:bookmarkEnd w:id="215"/>
      <w:bookmarkEnd w:id="216"/>
      <w:bookmarkEnd w:id="217"/>
      <w:bookmarkEnd w:id="218"/>
      <w:bookmarkEnd w:id="219"/>
      <w:bookmarkEnd w:id="220"/>
      <w:bookmarkEnd w:id="221"/>
      <w:bookmarkEnd w:id="222"/>
      <w:bookmarkEnd w:id="223"/>
    </w:p>
    <w:p>
      <w:pPr>
        <w:spacing w:line="520" w:lineRule="exact"/>
        <w:ind w:firstLine="560" w:firstLineChars="200"/>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对体检合格的拟聘人员，由招聘单位考察其政治思想、道德品质、廉洁自律、能力素质、工作态度、学习和工作表现及是否需要回避等内容情况，并对拟聘人员的资格条件进行再次审核。</w:t>
      </w:r>
    </w:p>
    <w:p>
      <w:pPr>
        <w:spacing w:line="520" w:lineRule="exact"/>
        <w:ind w:firstLine="560" w:firstLineChars="200"/>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考察工作前，招聘单位将通过中国执行信息公开网（http://zxgk.court.gov.cn/）核实考察对象有无失信被执行的情况，发现被依法列为失信联合惩戒对象的，取消聘用资格。</w:t>
      </w:r>
    </w:p>
    <w:p>
      <w:pPr>
        <w:spacing w:line="520" w:lineRule="exact"/>
        <w:ind w:firstLine="561" w:firstLineChars="200"/>
        <w:rPr>
          <w:rFonts w:ascii="华文仿宋" w:hAnsi="华文仿宋" w:eastAsia="华文仿宋" w:cs="华文仿宋"/>
          <w:b/>
          <w:bCs/>
          <w:sz w:val="28"/>
          <w:szCs w:val="28"/>
          <w:highlight w:val="none"/>
        </w:rPr>
      </w:pPr>
      <w:bookmarkStart w:id="224" w:name="_Toc2745"/>
      <w:bookmarkStart w:id="225" w:name="_Toc824"/>
      <w:bookmarkStart w:id="226" w:name="_Toc29432"/>
      <w:bookmarkStart w:id="227" w:name="_Toc2077"/>
      <w:bookmarkStart w:id="228" w:name="_Toc12913"/>
      <w:bookmarkStart w:id="229" w:name="_Toc9126"/>
      <w:bookmarkStart w:id="230" w:name="_Toc3371"/>
      <w:bookmarkStart w:id="231" w:name="_Toc6994"/>
      <w:bookmarkStart w:id="232" w:name="_Toc26510"/>
      <w:r>
        <w:rPr>
          <w:rFonts w:hint="eastAsia" w:ascii="华文仿宋" w:hAnsi="华文仿宋" w:eastAsia="华文仿宋" w:cs="华文仿宋"/>
          <w:b/>
          <w:bCs/>
          <w:sz w:val="28"/>
          <w:szCs w:val="28"/>
          <w:highlight w:val="none"/>
        </w:rPr>
        <w:t>十一、聘用</w:t>
      </w:r>
      <w:bookmarkEnd w:id="224"/>
      <w:bookmarkEnd w:id="225"/>
      <w:bookmarkEnd w:id="226"/>
      <w:bookmarkEnd w:id="227"/>
      <w:bookmarkEnd w:id="228"/>
      <w:bookmarkEnd w:id="229"/>
      <w:bookmarkEnd w:id="230"/>
      <w:bookmarkEnd w:id="231"/>
      <w:bookmarkEnd w:id="232"/>
      <w:bookmarkStart w:id="233" w:name="_Toc5990"/>
      <w:bookmarkStart w:id="234" w:name="_Toc15037"/>
      <w:bookmarkStart w:id="235" w:name="_Toc25406"/>
    </w:p>
    <w:p>
      <w:pPr>
        <w:spacing w:line="520" w:lineRule="exact"/>
        <w:ind w:firstLine="561" w:firstLineChars="200"/>
        <w:rPr>
          <w:rFonts w:ascii="华文仿宋" w:hAnsi="华文仿宋" w:eastAsia="华文仿宋" w:cs="华文仿宋"/>
          <w:b/>
          <w:bCs/>
          <w:sz w:val="28"/>
          <w:szCs w:val="28"/>
          <w:highlight w:val="none"/>
        </w:rPr>
      </w:pPr>
      <w:bookmarkStart w:id="236" w:name="_Toc1443"/>
      <w:bookmarkStart w:id="237" w:name="_Toc8579"/>
      <w:bookmarkStart w:id="238" w:name="_Toc1476"/>
      <w:bookmarkStart w:id="239" w:name="_Toc21664"/>
      <w:bookmarkStart w:id="240" w:name="_Toc8398"/>
      <w:bookmarkStart w:id="241" w:name="_Toc14984"/>
      <w:r>
        <w:rPr>
          <w:rFonts w:hint="eastAsia" w:ascii="华文仿宋" w:hAnsi="华文仿宋" w:eastAsia="华文仿宋" w:cs="华文仿宋"/>
          <w:b/>
          <w:bCs/>
          <w:sz w:val="28"/>
          <w:szCs w:val="28"/>
          <w:highlight w:val="none"/>
        </w:rPr>
        <w:t>（一）手续办理</w:t>
      </w:r>
      <w:bookmarkEnd w:id="233"/>
      <w:bookmarkEnd w:id="234"/>
      <w:bookmarkEnd w:id="235"/>
      <w:bookmarkEnd w:id="236"/>
      <w:bookmarkEnd w:id="237"/>
      <w:bookmarkEnd w:id="238"/>
      <w:bookmarkEnd w:id="239"/>
      <w:bookmarkEnd w:id="240"/>
      <w:bookmarkEnd w:id="241"/>
    </w:p>
    <w:p>
      <w:pPr>
        <w:spacing w:line="520" w:lineRule="exact"/>
        <w:ind w:firstLine="560" w:firstLineChars="200"/>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根据岗位要求以及考试、体检、考察结果，确定拟聘用人员名单，并在复旦大学附属肿瘤医院厦门医院官网公示 7 个工作日。公示内容包括招聘单位名称、招聘岗位、拟聘人员基本信息等。</w:t>
      </w:r>
    </w:p>
    <w:p>
      <w:pPr>
        <w:spacing w:line="520" w:lineRule="exact"/>
        <w:ind w:firstLine="560" w:firstLineChars="200"/>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公示结果无异议，或经核实不影响聘用的，拟聘人员应于公示期满后5个月内提供办理聘用手续所需的全部资料（含个人人事档案）。因情况确实特殊、无法在上述期限内提供完备资料的，拟聘人员需提交书面申请并与招聘单位协商一致后，可适当延长资料提交时限（延长时限原则上不超过2个月），否则视为自动放弃聘用资格。</w:t>
      </w:r>
    </w:p>
    <w:p>
      <w:pPr>
        <w:pStyle w:val="2"/>
        <w:spacing w:line="520" w:lineRule="exact"/>
        <w:ind w:firstLine="549" w:firstLineChars="196"/>
        <w:rPr>
          <w:rFonts w:ascii="华文仿宋" w:hAnsi="华文仿宋" w:eastAsia="华文仿宋" w:cs="华文仿宋"/>
          <w:sz w:val="28"/>
          <w:szCs w:val="28"/>
          <w:highlight w:val="none"/>
        </w:rPr>
      </w:pPr>
      <w:bookmarkStart w:id="242" w:name="_Toc15886"/>
      <w:bookmarkStart w:id="243" w:name="_Toc27370"/>
      <w:bookmarkStart w:id="244" w:name="_Toc12717"/>
      <w:bookmarkStart w:id="245" w:name="_Toc19503"/>
      <w:bookmarkStart w:id="246" w:name="_Toc17386"/>
      <w:bookmarkStart w:id="247" w:name="_Toc1514"/>
      <w:bookmarkStart w:id="248" w:name="_Toc27136"/>
      <w:bookmarkStart w:id="249" w:name="_Toc974"/>
      <w:bookmarkStart w:id="250" w:name="_Toc11701"/>
      <w:r>
        <w:rPr>
          <w:rFonts w:hint="eastAsia" w:ascii="华文仿宋" w:hAnsi="华文仿宋" w:eastAsia="华文仿宋" w:cs="华文仿宋"/>
          <w:sz w:val="28"/>
          <w:szCs w:val="28"/>
          <w:highlight w:val="none"/>
        </w:rPr>
        <w:t>（二）岗位聘任</w:t>
      </w:r>
      <w:bookmarkEnd w:id="242"/>
      <w:bookmarkEnd w:id="243"/>
      <w:bookmarkEnd w:id="244"/>
      <w:bookmarkEnd w:id="245"/>
      <w:bookmarkEnd w:id="246"/>
      <w:bookmarkEnd w:id="247"/>
      <w:bookmarkEnd w:id="248"/>
      <w:bookmarkEnd w:id="249"/>
      <w:bookmarkEnd w:id="250"/>
    </w:p>
    <w:p>
      <w:pPr>
        <w:spacing w:line="520" w:lineRule="exact"/>
        <w:ind w:firstLine="560" w:firstLineChars="200"/>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拟聘人员办理就业手续后，招聘单位应依据《事业单位人事管理条例》、《厦门市事业单位聘用制暂行规定》与拟聘人员签订《聘用合同》。聘用人员的人员身份及工龄、工资、养老保险等待遇由招聘单位查阅其人事档案后，按照厦门市有关规定认定。</w:t>
      </w:r>
    </w:p>
    <w:p>
      <w:pPr>
        <w:spacing w:line="520" w:lineRule="exact"/>
        <w:ind w:firstLine="560" w:firstLineChars="200"/>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招聘单位应遵照事业单位岗位设置管理规定，按本单位发布的招聘岗位类别和级别对拟聘人员进行聘任。如招聘单位的拟聘岗位数量不足或拟聘人员不具备相应岗位聘任资格条件的，可实行高职低聘。</w:t>
      </w:r>
      <w:bookmarkStart w:id="251" w:name="_Toc18947"/>
      <w:bookmarkStart w:id="252" w:name="_Toc7768"/>
      <w:bookmarkStart w:id="253" w:name="_Toc15865"/>
    </w:p>
    <w:p>
      <w:pPr>
        <w:pStyle w:val="2"/>
        <w:spacing w:line="520" w:lineRule="exact"/>
        <w:ind w:firstLine="549" w:firstLineChars="196"/>
        <w:rPr>
          <w:rFonts w:ascii="华文仿宋" w:hAnsi="华文仿宋" w:eastAsia="华文仿宋" w:cs="华文仿宋"/>
          <w:sz w:val="28"/>
          <w:szCs w:val="28"/>
          <w:highlight w:val="none"/>
        </w:rPr>
      </w:pPr>
      <w:bookmarkStart w:id="254" w:name="_Toc5335"/>
      <w:bookmarkStart w:id="255" w:name="_Toc5705"/>
      <w:bookmarkStart w:id="256" w:name="_Toc11026"/>
      <w:bookmarkStart w:id="257" w:name="_Toc15938"/>
      <w:bookmarkStart w:id="258" w:name="_Toc30319"/>
      <w:bookmarkStart w:id="259" w:name="_Toc31199"/>
      <w:r>
        <w:rPr>
          <w:rFonts w:hint="eastAsia" w:ascii="华文仿宋" w:hAnsi="华文仿宋" w:eastAsia="华文仿宋" w:cs="华文仿宋"/>
          <w:sz w:val="28"/>
          <w:szCs w:val="28"/>
          <w:highlight w:val="none"/>
        </w:rPr>
        <w:t>十二、其他事项</w:t>
      </w:r>
      <w:bookmarkEnd w:id="251"/>
      <w:bookmarkEnd w:id="252"/>
      <w:bookmarkEnd w:id="253"/>
      <w:bookmarkEnd w:id="254"/>
      <w:bookmarkEnd w:id="255"/>
      <w:bookmarkEnd w:id="256"/>
      <w:bookmarkEnd w:id="257"/>
      <w:bookmarkEnd w:id="258"/>
      <w:bookmarkEnd w:id="259"/>
      <w:bookmarkStart w:id="260" w:name="_Toc20963"/>
      <w:bookmarkStart w:id="261" w:name="_Toc28131"/>
      <w:bookmarkStart w:id="262" w:name="_Toc29849"/>
    </w:p>
    <w:p>
      <w:pPr>
        <w:pStyle w:val="2"/>
        <w:spacing w:line="520" w:lineRule="exact"/>
        <w:ind w:firstLine="549" w:firstLineChars="196"/>
        <w:rPr>
          <w:rFonts w:ascii="华文仿宋" w:hAnsi="华文仿宋" w:eastAsia="华文仿宋" w:cs="华文仿宋"/>
          <w:sz w:val="28"/>
          <w:szCs w:val="28"/>
          <w:highlight w:val="none"/>
        </w:rPr>
      </w:pPr>
      <w:bookmarkStart w:id="263" w:name="_Toc5470"/>
      <w:bookmarkStart w:id="264" w:name="_Toc7430"/>
      <w:bookmarkStart w:id="265" w:name="_Toc28664"/>
      <w:bookmarkStart w:id="266" w:name="_Toc10955"/>
      <w:bookmarkStart w:id="267" w:name="_Toc12131"/>
      <w:bookmarkStart w:id="268" w:name="_Toc26537"/>
      <w:r>
        <w:rPr>
          <w:rFonts w:hint="eastAsia" w:ascii="华文仿宋" w:hAnsi="华文仿宋" w:eastAsia="华文仿宋" w:cs="华文仿宋"/>
          <w:sz w:val="28"/>
          <w:szCs w:val="28"/>
          <w:highlight w:val="none"/>
        </w:rPr>
        <w:t>（一）中共党员</w:t>
      </w:r>
      <w:bookmarkEnd w:id="260"/>
      <w:bookmarkEnd w:id="261"/>
      <w:bookmarkEnd w:id="262"/>
      <w:bookmarkEnd w:id="263"/>
      <w:bookmarkEnd w:id="264"/>
      <w:bookmarkEnd w:id="265"/>
      <w:bookmarkEnd w:id="266"/>
      <w:bookmarkEnd w:id="267"/>
      <w:bookmarkEnd w:id="268"/>
    </w:p>
    <w:p>
      <w:pPr>
        <w:spacing w:line="520" w:lineRule="exact"/>
        <w:ind w:firstLine="560" w:firstLineChars="200"/>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岗位资格条件要求为“中共党员”的，中共预备党员也可报考。</w:t>
      </w:r>
    </w:p>
    <w:p>
      <w:pPr>
        <w:pStyle w:val="2"/>
        <w:spacing w:line="520" w:lineRule="exact"/>
        <w:ind w:firstLine="549" w:firstLineChars="196"/>
        <w:rPr>
          <w:rFonts w:ascii="华文仿宋" w:hAnsi="华文仿宋" w:eastAsia="华文仿宋" w:cs="华文仿宋"/>
          <w:sz w:val="28"/>
          <w:szCs w:val="28"/>
          <w:highlight w:val="none"/>
        </w:rPr>
      </w:pPr>
      <w:bookmarkStart w:id="269" w:name="_Toc15299"/>
      <w:bookmarkStart w:id="270" w:name="_Toc1238"/>
      <w:bookmarkStart w:id="271" w:name="_Toc1658"/>
      <w:bookmarkStart w:id="272" w:name="_Toc5176"/>
      <w:bookmarkStart w:id="273" w:name="_Toc26727"/>
      <w:bookmarkStart w:id="274" w:name="_Toc29092"/>
      <w:bookmarkStart w:id="275" w:name="_Toc31167"/>
      <w:bookmarkStart w:id="276" w:name="_Toc26996"/>
      <w:bookmarkStart w:id="277" w:name="_Toc24042"/>
      <w:r>
        <w:rPr>
          <w:rFonts w:hint="eastAsia" w:ascii="华文仿宋" w:hAnsi="华文仿宋" w:eastAsia="华文仿宋" w:cs="华文仿宋"/>
          <w:sz w:val="28"/>
          <w:szCs w:val="28"/>
          <w:highlight w:val="none"/>
        </w:rPr>
        <w:t>（二）职称</w:t>
      </w:r>
      <w:bookmarkEnd w:id="269"/>
      <w:bookmarkEnd w:id="270"/>
      <w:bookmarkEnd w:id="271"/>
      <w:bookmarkEnd w:id="272"/>
      <w:bookmarkEnd w:id="273"/>
      <w:bookmarkEnd w:id="274"/>
      <w:bookmarkEnd w:id="275"/>
      <w:bookmarkEnd w:id="276"/>
      <w:r>
        <w:rPr>
          <w:rFonts w:hint="eastAsia" w:ascii="华文仿宋" w:hAnsi="华文仿宋" w:eastAsia="华文仿宋" w:cs="华文仿宋"/>
          <w:sz w:val="28"/>
          <w:szCs w:val="28"/>
          <w:highlight w:val="none"/>
        </w:rPr>
        <w:t>（专业技术职务任职资格）</w:t>
      </w:r>
      <w:bookmarkEnd w:id="277"/>
    </w:p>
    <w:p>
      <w:pPr>
        <w:spacing w:line="520" w:lineRule="exact"/>
        <w:ind w:firstLine="560" w:firstLineChars="200"/>
        <w:rPr>
          <w:rFonts w:ascii="华文仿宋" w:hAnsi="华文仿宋" w:eastAsia="华文仿宋" w:cs="华文仿宋"/>
          <w:sz w:val="28"/>
          <w:szCs w:val="28"/>
          <w:highlight w:val="none"/>
        </w:rPr>
      </w:pPr>
      <w:bookmarkStart w:id="278" w:name="_Toc16551"/>
      <w:bookmarkStart w:id="279" w:name="_Toc4426"/>
      <w:bookmarkStart w:id="280" w:name="_Toc23989"/>
      <w:bookmarkStart w:id="281" w:name="_Toc4029"/>
      <w:bookmarkStart w:id="282" w:name="_Toc16150"/>
      <w:bookmarkStart w:id="283" w:name="_Toc19212"/>
      <w:bookmarkStart w:id="284" w:name="_Toc21952"/>
      <w:bookmarkStart w:id="285" w:name="_Toc23185"/>
      <w:bookmarkStart w:id="286" w:name="_Toc21039"/>
      <w:r>
        <w:rPr>
          <w:rFonts w:hint="eastAsia" w:ascii="华文仿宋" w:hAnsi="华文仿宋" w:eastAsia="华文仿宋" w:cs="华文仿宋"/>
          <w:sz w:val="28"/>
          <w:szCs w:val="28"/>
          <w:highlight w:val="none"/>
        </w:rPr>
        <w:t>岗位资格条件要求的职称是指经社会化评审、全国统一考试或考核确认等方式取得的专业技术职务任职资格，不含通过非公有制企业职称评审方式取得的职称。</w:t>
      </w:r>
    </w:p>
    <w:p>
      <w:pPr>
        <w:spacing w:line="520" w:lineRule="exact"/>
        <w:ind w:firstLine="560" w:firstLineChars="200"/>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在资格复核时，尚未取得岗位资格条件要求的职称证书的，可提供成绩单 (须证明通过考试) 、评审通过文件或考 核确认表等有效材料。</w:t>
      </w:r>
    </w:p>
    <w:p>
      <w:pPr>
        <w:pStyle w:val="2"/>
        <w:spacing w:line="520" w:lineRule="exact"/>
        <w:ind w:firstLine="549" w:firstLineChars="196"/>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（三）规范化培训</w:t>
      </w:r>
      <w:bookmarkEnd w:id="278"/>
      <w:bookmarkEnd w:id="279"/>
      <w:bookmarkEnd w:id="280"/>
      <w:bookmarkEnd w:id="281"/>
      <w:bookmarkEnd w:id="282"/>
      <w:bookmarkEnd w:id="283"/>
      <w:bookmarkEnd w:id="284"/>
      <w:bookmarkEnd w:id="285"/>
      <w:bookmarkEnd w:id="286"/>
    </w:p>
    <w:p>
      <w:pPr>
        <w:spacing w:line="520" w:lineRule="exact"/>
        <w:ind w:firstLine="560" w:firstLineChars="200"/>
        <w:rPr>
          <w:rFonts w:ascii="华文仿宋" w:hAnsi="华文仿宋" w:eastAsia="华文仿宋" w:cs="华文仿宋"/>
          <w:sz w:val="28"/>
          <w:szCs w:val="28"/>
          <w:highlight w:val="none"/>
        </w:rPr>
      </w:pPr>
      <w:bookmarkStart w:id="287" w:name="_Toc14906"/>
      <w:bookmarkStart w:id="288" w:name="_Toc21766"/>
      <w:bookmarkStart w:id="289" w:name="_Toc563"/>
      <w:bookmarkStart w:id="290" w:name="_Toc4591"/>
      <w:bookmarkStart w:id="291" w:name="_Toc9207"/>
      <w:bookmarkStart w:id="292" w:name="_Toc4062"/>
      <w:bookmarkStart w:id="293" w:name="_Toc9505"/>
      <w:bookmarkStart w:id="294" w:name="_Toc18949"/>
      <w:bookmarkStart w:id="295" w:name="_Toc20667"/>
      <w:r>
        <w:rPr>
          <w:rFonts w:hint="eastAsia" w:ascii="华文仿宋" w:hAnsi="华文仿宋" w:eastAsia="华文仿宋" w:cs="华文仿宋"/>
          <w:sz w:val="28"/>
          <w:szCs w:val="28"/>
          <w:highlight w:val="none"/>
        </w:rPr>
        <w:t>2023年当年毕业的医学专业“四证合一”应届研究生及其他拟于 2023年住院医师规范化培训结业的学生，在符合 报考岗位其他资格条件的前提下，其住院医师规范化培训合格证书可于2023年12月31日前随符合岗位报考条件的相应学历 (位) 证书一并提供。</w:t>
      </w:r>
    </w:p>
    <w:p>
      <w:pPr>
        <w:pStyle w:val="2"/>
        <w:spacing w:line="520" w:lineRule="exact"/>
        <w:ind w:firstLine="549" w:firstLineChars="196"/>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（四）应届高校毕业生</w:t>
      </w:r>
      <w:bookmarkEnd w:id="287"/>
      <w:bookmarkEnd w:id="288"/>
      <w:bookmarkEnd w:id="289"/>
      <w:bookmarkEnd w:id="290"/>
      <w:bookmarkEnd w:id="291"/>
      <w:bookmarkEnd w:id="292"/>
      <w:bookmarkEnd w:id="293"/>
      <w:bookmarkEnd w:id="294"/>
      <w:bookmarkEnd w:id="295"/>
    </w:p>
    <w:p>
      <w:pPr>
        <w:spacing w:line="520" w:lineRule="exact"/>
        <w:ind w:firstLine="560" w:firstLineChars="200"/>
        <w:rPr>
          <w:rFonts w:ascii="华文仿宋" w:hAnsi="华文仿宋" w:eastAsia="华文仿宋" w:cs="华文仿宋"/>
          <w:sz w:val="28"/>
          <w:szCs w:val="28"/>
          <w:highlight w:val="none"/>
        </w:rPr>
      </w:pPr>
      <w:bookmarkStart w:id="296" w:name="_Toc3069"/>
      <w:bookmarkStart w:id="297" w:name="_Toc2039"/>
      <w:bookmarkStart w:id="298" w:name="_Toc18970"/>
      <w:bookmarkStart w:id="299" w:name="_Toc14505"/>
      <w:bookmarkStart w:id="300" w:name="_Toc1147"/>
      <w:bookmarkStart w:id="301" w:name="_Toc17835_WPSOffice_Level2"/>
      <w:bookmarkStart w:id="302" w:name="_Toc11834"/>
      <w:bookmarkStart w:id="303" w:name="_Toc14931"/>
      <w:bookmarkStart w:id="304" w:name="_Toc5428"/>
      <w:bookmarkStart w:id="305" w:name="_Toc499"/>
      <w:bookmarkStart w:id="306" w:name="_Toc7516"/>
      <w:r>
        <w:rPr>
          <w:rFonts w:hint="eastAsia" w:ascii="华文仿宋" w:hAnsi="华文仿宋" w:eastAsia="华文仿宋" w:cs="华文仿宋"/>
          <w:sz w:val="28"/>
          <w:szCs w:val="28"/>
          <w:highlight w:val="none"/>
        </w:rPr>
        <w:t>本次招聘中涉及的“2023 届毕业生”是指通过参加全国统一的普通高等学校招生考试达到录取要求入学或国家承认的其他方式入学、经省级招办批准录取，入学时将档案关 系转到就读学校，并于 2023年1月1日至2023年12月31日取得普通高等学校 (教育) 学历、学位证书的毕业生。</w:t>
      </w:r>
    </w:p>
    <w:bookmarkEnd w:id="296"/>
    <w:bookmarkEnd w:id="297"/>
    <w:bookmarkEnd w:id="298"/>
    <w:bookmarkEnd w:id="299"/>
    <w:bookmarkEnd w:id="300"/>
    <w:bookmarkEnd w:id="301"/>
    <w:bookmarkEnd w:id="302"/>
    <w:bookmarkEnd w:id="303"/>
    <w:bookmarkEnd w:id="304"/>
    <w:bookmarkEnd w:id="305"/>
    <w:bookmarkEnd w:id="306"/>
    <w:p>
      <w:pPr>
        <w:spacing w:line="520" w:lineRule="exact"/>
        <w:ind w:firstLine="561" w:firstLineChars="200"/>
        <w:rPr>
          <w:rFonts w:ascii="华文仿宋" w:hAnsi="华文仿宋" w:eastAsia="华文仿宋" w:cs="华文仿宋"/>
          <w:b/>
          <w:bCs/>
          <w:sz w:val="28"/>
          <w:szCs w:val="28"/>
          <w:highlight w:val="none"/>
        </w:rPr>
      </w:pPr>
      <w:r>
        <w:rPr>
          <w:rFonts w:hint="eastAsia" w:ascii="华文仿宋" w:hAnsi="华文仿宋" w:eastAsia="华文仿宋" w:cs="华文仿宋"/>
          <w:b/>
          <w:bCs/>
          <w:sz w:val="28"/>
          <w:szCs w:val="28"/>
          <w:highlight w:val="none"/>
        </w:rPr>
        <w:t>（五）生源</w:t>
      </w:r>
    </w:p>
    <w:p>
      <w:pPr>
        <w:spacing w:line="520" w:lineRule="exact"/>
        <w:ind w:firstLine="560" w:firstLineChars="200"/>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厦门生源毕业生是指入学前 (指考入取得第一个全日制普通教育学历的院校前，下同) 户籍和学籍在厦门市的全日制普通教育毕业生。符合以下条件之一的普通教育全日制毕业生可参照厦门生源：</w:t>
      </w:r>
    </w:p>
    <w:p>
      <w:pPr>
        <w:spacing w:line="520" w:lineRule="exact"/>
        <w:ind w:firstLine="560" w:firstLineChars="200"/>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1.入学前户籍在厦门市但学籍不在厦门市的普通教育全日制毕业生；</w:t>
      </w:r>
    </w:p>
    <w:p>
      <w:pPr>
        <w:spacing w:line="520" w:lineRule="exact"/>
        <w:ind w:firstLine="560" w:firstLineChars="200"/>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2.入学前户籍和学籍虽不在厦门市，但本次公开招聘报名截止日前父母或配偶有一方户籍在厦门市的普通教育全日制2023年应届毕业生；</w:t>
      </w:r>
    </w:p>
    <w:p>
      <w:pPr>
        <w:spacing w:line="520" w:lineRule="exact"/>
        <w:ind w:firstLine="560" w:firstLineChars="200"/>
        <w:rPr>
          <w:rFonts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3.根据厦府办[2011]229号文规定来我市就读普通高中且将户籍迁入我市的外来学生，普通高中毕业后从我市考入 普通高等院校的全日制普通教育毕业生。</w:t>
      </w:r>
    </w:p>
    <w:p>
      <w:pPr>
        <w:spacing w:before="165" w:line="520" w:lineRule="exact"/>
        <w:ind w:left="672"/>
        <w:rPr>
          <w:rFonts w:ascii="华文仿宋" w:hAnsi="华文仿宋" w:eastAsia="华文仿宋" w:cs="华文仿宋"/>
          <w:sz w:val="28"/>
          <w:szCs w:val="28"/>
          <w:highlight w:val="none"/>
        </w:rPr>
      </w:pPr>
      <w:r>
        <w:rPr>
          <w:rFonts w:hint="eastAsia" w:ascii="华文仿宋" w:hAnsi="华文仿宋" w:eastAsia="华文仿宋" w:cs="华文仿宋"/>
          <w:spacing w:val="12"/>
          <w:sz w:val="28"/>
          <w:szCs w:val="28"/>
          <w:highlight w:val="none"/>
        </w:rPr>
        <w:t>福</w:t>
      </w:r>
      <w:r>
        <w:rPr>
          <w:rFonts w:hint="eastAsia" w:ascii="华文仿宋" w:hAnsi="华文仿宋" w:eastAsia="华文仿宋" w:cs="华文仿宋"/>
          <w:spacing w:val="6"/>
          <w:sz w:val="28"/>
          <w:szCs w:val="28"/>
          <w:highlight w:val="none"/>
        </w:rPr>
        <w:t>建生源类推界定。</w:t>
      </w:r>
    </w:p>
    <w:p>
      <w:pPr>
        <w:spacing w:before="101" w:line="520" w:lineRule="exact"/>
        <w:ind w:left="659"/>
        <w:rPr>
          <w:rFonts w:ascii="华文仿宋" w:hAnsi="华文仿宋" w:eastAsia="华文仿宋" w:cs="华文仿宋"/>
          <w:b/>
          <w:bCs/>
          <w:sz w:val="28"/>
          <w:szCs w:val="28"/>
          <w:highlight w:val="none"/>
        </w:rPr>
      </w:pPr>
      <w:r>
        <w:rPr>
          <w:rFonts w:hint="eastAsia" w:ascii="华文仿宋" w:hAnsi="华文仿宋" w:eastAsia="华文仿宋" w:cs="华文仿宋"/>
          <w:b/>
          <w:bCs/>
          <w:sz w:val="28"/>
          <w:szCs w:val="28"/>
          <w:highlight w:val="none"/>
        </w:rPr>
        <w:t>（六）</w:t>
      </w:r>
      <w:r>
        <w:rPr>
          <w:rFonts w:hint="eastAsia" w:ascii="华文仿宋" w:hAnsi="华文仿宋" w:eastAsia="华文仿宋" w:cs="华文仿宋"/>
          <w:b/>
          <w:bCs/>
          <w:spacing w:val="-6"/>
          <w:sz w:val="28"/>
          <w:szCs w:val="28"/>
          <w:highlight w:val="none"/>
        </w:rPr>
        <w:t>港澳台人员</w:t>
      </w:r>
    </w:p>
    <w:p>
      <w:pPr>
        <w:spacing w:before="100" w:line="520" w:lineRule="exact"/>
        <w:ind w:left="34" w:right="16" w:firstLine="641"/>
        <w:rPr>
          <w:rFonts w:ascii="华文仿宋" w:hAnsi="华文仿宋" w:eastAsia="华文仿宋" w:cs="华文仿宋"/>
          <w:sz w:val="28"/>
          <w:szCs w:val="28"/>
          <w:highlight w:val="none"/>
        </w:rPr>
      </w:pPr>
      <w:r>
        <w:rPr>
          <w:rFonts w:hint="eastAsia" w:ascii="华文仿宋" w:hAnsi="华文仿宋" w:eastAsia="华文仿宋" w:cs="华文仿宋"/>
          <w:spacing w:val="14"/>
          <w:sz w:val="28"/>
          <w:szCs w:val="28"/>
          <w:highlight w:val="none"/>
        </w:rPr>
        <w:t>港澳</w:t>
      </w:r>
      <w:r>
        <w:rPr>
          <w:rFonts w:hint="eastAsia" w:ascii="华文仿宋" w:hAnsi="华文仿宋" w:eastAsia="华文仿宋" w:cs="华文仿宋"/>
          <w:spacing w:val="12"/>
          <w:sz w:val="28"/>
          <w:szCs w:val="28"/>
          <w:highlight w:val="none"/>
        </w:rPr>
        <w:t>台</w:t>
      </w:r>
      <w:r>
        <w:rPr>
          <w:rFonts w:hint="eastAsia" w:ascii="华文仿宋" w:hAnsi="华文仿宋" w:eastAsia="华文仿宋" w:cs="华文仿宋"/>
          <w:spacing w:val="7"/>
          <w:sz w:val="28"/>
          <w:szCs w:val="28"/>
          <w:highlight w:val="none"/>
        </w:rPr>
        <w:t>人员 (不得持有外国籍) 的招聘，按照国家、省</w:t>
      </w:r>
      <w:r>
        <w:rPr>
          <w:rFonts w:hint="eastAsia" w:ascii="华文仿宋" w:hAnsi="华文仿宋" w:eastAsia="华文仿宋" w:cs="华文仿宋"/>
          <w:spacing w:val="8"/>
          <w:sz w:val="28"/>
          <w:szCs w:val="28"/>
          <w:highlight w:val="none"/>
        </w:rPr>
        <w:t>和</w:t>
      </w:r>
      <w:r>
        <w:rPr>
          <w:rFonts w:hint="eastAsia" w:ascii="华文仿宋" w:hAnsi="华文仿宋" w:eastAsia="华文仿宋" w:cs="华文仿宋"/>
          <w:spacing w:val="7"/>
          <w:sz w:val="28"/>
          <w:szCs w:val="28"/>
          <w:highlight w:val="none"/>
        </w:rPr>
        <w:t>厦门市有关规定办理。</w:t>
      </w:r>
    </w:p>
    <w:p>
      <w:pPr>
        <w:spacing w:before="174" w:line="520" w:lineRule="exact"/>
        <w:ind w:left="659"/>
        <w:rPr>
          <w:rFonts w:ascii="华文仿宋" w:hAnsi="华文仿宋" w:eastAsia="华文仿宋" w:cs="华文仿宋"/>
          <w:b/>
          <w:bCs/>
          <w:sz w:val="28"/>
          <w:szCs w:val="28"/>
          <w:highlight w:val="none"/>
        </w:rPr>
      </w:pPr>
      <w:r>
        <w:rPr>
          <w:rFonts w:hint="eastAsia" w:ascii="华文仿宋" w:hAnsi="华文仿宋" w:eastAsia="华文仿宋" w:cs="华文仿宋"/>
          <w:b/>
          <w:bCs/>
          <w:sz w:val="28"/>
          <w:szCs w:val="28"/>
          <w:highlight w:val="none"/>
        </w:rPr>
        <w:t>（七）</w:t>
      </w:r>
      <w:r>
        <w:rPr>
          <w:rFonts w:hint="eastAsia" w:ascii="华文仿宋" w:hAnsi="华文仿宋" w:eastAsia="华文仿宋" w:cs="华文仿宋"/>
          <w:b/>
          <w:bCs/>
          <w:spacing w:val="-4"/>
          <w:sz w:val="28"/>
          <w:szCs w:val="28"/>
          <w:highlight w:val="none"/>
        </w:rPr>
        <w:t>技工院校毕业</w:t>
      </w:r>
      <w:r>
        <w:rPr>
          <w:rFonts w:hint="eastAsia" w:ascii="华文仿宋" w:hAnsi="华文仿宋" w:eastAsia="华文仿宋" w:cs="华文仿宋"/>
          <w:b/>
          <w:bCs/>
          <w:spacing w:val="-3"/>
          <w:sz w:val="28"/>
          <w:szCs w:val="28"/>
          <w:highlight w:val="none"/>
        </w:rPr>
        <w:t>生</w:t>
      </w:r>
    </w:p>
    <w:p>
      <w:pPr>
        <w:spacing w:before="101" w:line="520" w:lineRule="exact"/>
        <w:ind w:left="26" w:right="16" w:firstLine="644"/>
        <w:rPr>
          <w:rFonts w:ascii="华文仿宋" w:hAnsi="华文仿宋" w:eastAsia="华文仿宋" w:cs="华文仿宋"/>
          <w:sz w:val="28"/>
          <w:szCs w:val="28"/>
          <w:highlight w:val="none"/>
        </w:rPr>
      </w:pPr>
      <w:r>
        <w:rPr>
          <w:rFonts w:hint="eastAsia" w:ascii="华文仿宋" w:hAnsi="华文仿宋" w:eastAsia="华文仿宋" w:cs="华文仿宋"/>
          <w:spacing w:val="8"/>
          <w:sz w:val="28"/>
          <w:szCs w:val="28"/>
          <w:highlight w:val="none"/>
        </w:rPr>
        <w:t>技工院校全日制高级工班、预备技师 (技师) 班毕业</w:t>
      </w:r>
      <w:r>
        <w:rPr>
          <w:rFonts w:hint="eastAsia" w:ascii="华文仿宋" w:hAnsi="华文仿宋" w:eastAsia="华文仿宋" w:cs="华文仿宋"/>
          <w:spacing w:val="6"/>
          <w:sz w:val="28"/>
          <w:szCs w:val="28"/>
          <w:highlight w:val="none"/>
        </w:rPr>
        <w:t>，</w:t>
      </w:r>
      <w:r>
        <w:rPr>
          <w:rFonts w:hint="eastAsia" w:ascii="华文仿宋" w:hAnsi="华文仿宋" w:eastAsia="华文仿宋" w:cs="华文仿宋"/>
          <w:spacing w:val="15"/>
          <w:sz w:val="28"/>
          <w:szCs w:val="28"/>
          <w:highlight w:val="none"/>
        </w:rPr>
        <w:t>且</w:t>
      </w:r>
      <w:r>
        <w:rPr>
          <w:rFonts w:hint="eastAsia" w:ascii="华文仿宋" w:hAnsi="华文仿宋" w:eastAsia="华文仿宋" w:cs="华文仿宋"/>
          <w:spacing w:val="8"/>
          <w:sz w:val="28"/>
          <w:szCs w:val="28"/>
          <w:highlight w:val="none"/>
        </w:rPr>
        <w:t>毕业时已取得相应高级工、预备技师 (技师) 职业技能等</w:t>
      </w:r>
      <w:r>
        <w:rPr>
          <w:rFonts w:hint="eastAsia" w:ascii="华文仿宋" w:hAnsi="华文仿宋" w:eastAsia="华文仿宋" w:cs="华文仿宋"/>
          <w:spacing w:val="9"/>
          <w:sz w:val="28"/>
          <w:szCs w:val="28"/>
          <w:highlight w:val="none"/>
        </w:rPr>
        <w:t>级证书的，经招聘单位及主管部门同意，可分别视同大专</w:t>
      </w:r>
      <w:r>
        <w:rPr>
          <w:rFonts w:hint="eastAsia" w:ascii="华文仿宋" w:hAnsi="华文仿宋" w:eastAsia="华文仿宋" w:cs="华文仿宋"/>
          <w:spacing w:val="6"/>
          <w:sz w:val="28"/>
          <w:szCs w:val="28"/>
          <w:highlight w:val="none"/>
        </w:rPr>
        <w:t>、</w:t>
      </w:r>
      <w:r>
        <w:rPr>
          <w:rFonts w:hint="eastAsia" w:ascii="华文仿宋" w:hAnsi="华文仿宋" w:eastAsia="华文仿宋" w:cs="华文仿宋"/>
          <w:spacing w:val="2"/>
          <w:sz w:val="28"/>
          <w:szCs w:val="28"/>
          <w:highlight w:val="none"/>
        </w:rPr>
        <w:t>本科学历，报考我市市、区属事业单位招聘岗</w:t>
      </w:r>
      <w:r>
        <w:rPr>
          <w:rFonts w:hint="eastAsia" w:ascii="华文仿宋" w:hAnsi="华文仿宋" w:eastAsia="华文仿宋" w:cs="华文仿宋"/>
          <w:sz w:val="28"/>
          <w:szCs w:val="28"/>
          <w:highlight w:val="none"/>
        </w:rPr>
        <w:t>位。</w:t>
      </w:r>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embedRegular r:id="rId1" w:fontKey="{8D82E9F6-04B4-4971-BEFE-2E067B8978D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05740"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05740" cy="139700"/>
                      </a:xfrm>
                      <a:prstGeom prst="rect">
                        <a:avLst/>
                      </a:prstGeom>
                      <a:noFill/>
                      <a:ln>
                        <a:noFill/>
                      </a:ln>
                      <a:effectLst/>
                    </wps:spPr>
                    <wps:txbx>
                      <w:txbxContent>
                        <w:p>
                          <w:pPr>
                            <w:pStyle w:val="6"/>
                          </w:pPr>
                          <w:r>
                            <w:fldChar w:fldCharType="begin"/>
                          </w:r>
                          <w:r>
                            <w:instrText xml:space="preserve"> PAGE  \* MERGEFORMAT </w:instrText>
                          </w:r>
                          <w:r>
                            <w:fldChar w:fldCharType="separate"/>
                          </w:r>
                          <w:r>
                            <w:t>1</w:t>
                          </w:r>
                          <w:r>
                            <w:fldChar w:fldCharType="end"/>
                          </w:r>
                        </w:p>
                      </w:txbxContent>
                    </wps:txbx>
                    <wps:bodyPr wrap="square" lIns="0" tIns="0" rIns="0" bIns="0" upright="1">
                      <a:spAutoFit/>
                    </wps:bodyPr>
                  </wps:wsp>
                </a:graphicData>
              </a:graphic>
            </wp:anchor>
          </w:drawing>
        </mc:Choice>
        <mc:Fallback>
          <w:pict>
            <v:shape id="_x0000_s1026" o:spid="_x0000_s1026" o:spt="202" type="#_x0000_t202" style="position:absolute;left:0pt;margin-top:0pt;height:11pt;width:16.2pt;mso-position-horizontal:center;mso-position-horizontal-relative:margin;z-index:251659264;mso-width-relative:page;mso-height-relative:page;" filled="f" stroked="f" coordsize="21600,21600" o:gfxdata="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LEP/kLSAAAAAwEAAA8AAAAAAAAAAQAgAAAAIgAA&#10;AGRycy9kb3ducmV2LnhtbFBLAQIUABQAAAAIAIdO4kD6Hga+1QEAAKcDAAAOAAAAAAAAAAEAIAAA&#10;ACEBAABkcnMvZTJvRG9jLnhtbFBLBQYAAAAABgAGAFkBAABoBQ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D37C6F"/>
    <w:multiLevelType w:val="singleLevel"/>
    <w:tmpl w:val="16D37C6F"/>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TrueTypeFonts/>
  <w:saveSubsetFonts/>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RhOWZiNTdlMGIwNTk1MTA3MGRlZmFkZjdkMjIwNjQifQ=="/>
  </w:docVars>
  <w:rsids>
    <w:rsidRoot w:val="00CA3A16"/>
    <w:rsid w:val="000134AE"/>
    <w:rsid w:val="00013E57"/>
    <w:rsid w:val="000141D6"/>
    <w:rsid w:val="00016772"/>
    <w:rsid w:val="00016CA4"/>
    <w:rsid w:val="0002071E"/>
    <w:rsid w:val="00027082"/>
    <w:rsid w:val="000303AD"/>
    <w:rsid w:val="0003041A"/>
    <w:rsid w:val="00042AC0"/>
    <w:rsid w:val="000474AD"/>
    <w:rsid w:val="00050255"/>
    <w:rsid w:val="00061A6C"/>
    <w:rsid w:val="000622B6"/>
    <w:rsid w:val="00063A9C"/>
    <w:rsid w:val="00063AD5"/>
    <w:rsid w:val="00065CC8"/>
    <w:rsid w:val="00071CAD"/>
    <w:rsid w:val="0008184C"/>
    <w:rsid w:val="000838CD"/>
    <w:rsid w:val="00083ECF"/>
    <w:rsid w:val="00093316"/>
    <w:rsid w:val="00093BC6"/>
    <w:rsid w:val="000955E7"/>
    <w:rsid w:val="00095C7C"/>
    <w:rsid w:val="0009674D"/>
    <w:rsid w:val="000A1B97"/>
    <w:rsid w:val="000A46C7"/>
    <w:rsid w:val="000B1950"/>
    <w:rsid w:val="000B7C44"/>
    <w:rsid w:val="000C0167"/>
    <w:rsid w:val="000C1F4C"/>
    <w:rsid w:val="000C4C08"/>
    <w:rsid w:val="000C6DC4"/>
    <w:rsid w:val="000D0986"/>
    <w:rsid w:val="000D1320"/>
    <w:rsid w:val="000D726B"/>
    <w:rsid w:val="000E4363"/>
    <w:rsid w:val="000E50DB"/>
    <w:rsid w:val="000E59F3"/>
    <w:rsid w:val="000E64EA"/>
    <w:rsid w:val="000F528C"/>
    <w:rsid w:val="000F6073"/>
    <w:rsid w:val="001005D9"/>
    <w:rsid w:val="001031A9"/>
    <w:rsid w:val="00103DB7"/>
    <w:rsid w:val="0011117E"/>
    <w:rsid w:val="00114E01"/>
    <w:rsid w:val="001234FA"/>
    <w:rsid w:val="00124B0A"/>
    <w:rsid w:val="001258E9"/>
    <w:rsid w:val="001266B3"/>
    <w:rsid w:val="001272BE"/>
    <w:rsid w:val="00127D2E"/>
    <w:rsid w:val="001329AD"/>
    <w:rsid w:val="0013424A"/>
    <w:rsid w:val="00137BC5"/>
    <w:rsid w:val="00137D47"/>
    <w:rsid w:val="0014077C"/>
    <w:rsid w:val="0014786A"/>
    <w:rsid w:val="001571BF"/>
    <w:rsid w:val="001618A2"/>
    <w:rsid w:val="00164005"/>
    <w:rsid w:val="0016662B"/>
    <w:rsid w:val="00170E5A"/>
    <w:rsid w:val="0017342D"/>
    <w:rsid w:val="00175E5B"/>
    <w:rsid w:val="00176E69"/>
    <w:rsid w:val="001819C6"/>
    <w:rsid w:val="00182722"/>
    <w:rsid w:val="00185D59"/>
    <w:rsid w:val="00186E9D"/>
    <w:rsid w:val="0019120A"/>
    <w:rsid w:val="001A0706"/>
    <w:rsid w:val="001A6BBD"/>
    <w:rsid w:val="001A70DD"/>
    <w:rsid w:val="001B0240"/>
    <w:rsid w:val="001B1D2C"/>
    <w:rsid w:val="001B1D72"/>
    <w:rsid w:val="001B21A8"/>
    <w:rsid w:val="001B25C1"/>
    <w:rsid w:val="001B2FA4"/>
    <w:rsid w:val="001B680E"/>
    <w:rsid w:val="001B7D37"/>
    <w:rsid w:val="001C2D6B"/>
    <w:rsid w:val="001C7D42"/>
    <w:rsid w:val="001D0820"/>
    <w:rsid w:val="001D4711"/>
    <w:rsid w:val="001D6CDE"/>
    <w:rsid w:val="001D77DB"/>
    <w:rsid w:val="001E476C"/>
    <w:rsid w:val="001E6A5C"/>
    <w:rsid w:val="001F0653"/>
    <w:rsid w:val="001F0ED6"/>
    <w:rsid w:val="001F31E4"/>
    <w:rsid w:val="001F475F"/>
    <w:rsid w:val="001F7E2F"/>
    <w:rsid w:val="00205D4A"/>
    <w:rsid w:val="002061CD"/>
    <w:rsid w:val="0021215B"/>
    <w:rsid w:val="00213A6B"/>
    <w:rsid w:val="002245C5"/>
    <w:rsid w:val="00224E77"/>
    <w:rsid w:val="00231266"/>
    <w:rsid w:val="0023151F"/>
    <w:rsid w:val="0023228B"/>
    <w:rsid w:val="00233B29"/>
    <w:rsid w:val="00235D5E"/>
    <w:rsid w:val="00235F2C"/>
    <w:rsid w:val="00253684"/>
    <w:rsid w:val="0026198A"/>
    <w:rsid w:val="002666AA"/>
    <w:rsid w:val="0027223D"/>
    <w:rsid w:val="002756C2"/>
    <w:rsid w:val="00282296"/>
    <w:rsid w:val="00283BE4"/>
    <w:rsid w:val="00283FFF"/>
    <w:rsid w:val="00290979"/>
    <w:rsid w:val="002922E9"/>
    <w:rsid w:val="00296440"/>
    <w:rsid w:val="00297197"/>
    <w:rsid w:val="002A3AE8"/>
    <w:rsid w:val="002A65E8"/>
    <w:rsid w:val="002B14B7"/>
    <w:rsid w:val="002B1617"/>
    <w:rsid w:val="002B3A73"/>
    <w:rsid w:val="002B446A"/>
    <w:rsid w:val="002B5890"/>
    <w:rsid w:val="002C42C2"/>
    <w:rsid w:val="002C4507"/>
    <w:rsid w:val="002D0BA2"/>
    <w:rsid w:val="002D5793"/>
    <w:rsid w:val="002E072C"/>
    <w:rsid w:val="002E0869"/>
    <w:rsid w:val="002E0CAD"/>
    <w:rsid w:val="002F1B7F"/>
    <w:rsid w:val="0030076C"/>
    <w:rsid w:val="00300F25"/>
    <w:rsid w:val="0030204A"/>
    <w:rsid w:val="0030661F"/>
    <w:rsid w:val="003067E5"/>
    <w:rsid w:val="00310D70"/>
    <w:rsid w:val="003154A1"/>
    <w:rsid w:val="00315EE3"/>
    <w:rsid w:val="003241F0"/>
    <w:rsid w:val="00327AF8"/>
    <w:rsid w:val="00330915"/>
    <w:rsid w:val="0033348E"/>
    <w:rsid w:val="00335F99"/>
    <w:rsid w:val="00336B69"/>
    <w:rsid w:val="00336D36"/>
    <w:rsid w:val="00337286"/>
    <w:rsid w:val="003410BE"/>
    <w:rsid w:val="00343557"/>
    <w:rsid w:val="003500D6"/>
    <w:rsid w:val="00353D5B"/>
    <w:rsid w:val="0035642C"/>
    <w:rsid w:val="003810AA"/>
    <w:rsid w:val="00382AD6"/>
    <w:rsid w:val="00385899"/>
    <w:rsid w:val="0039564C"/>
    <w:rsid w:val="003A0F44"/>
    <w:rsid w:val="003A30F1"/>
    <w:rsid w:val="003B1A8E"/>
    <w:rsid w:val="003B1C99"/>
    <w:rsid w:val="003C24A4"/>
    <w:rsid w:val="003C325E"/>
    <w:rsid w:val="003C38B7"/>
    <w:rsid w:val="003E083C"/>
    <w:rsid w:val="003E1F4E"/>
    <w:rsid w:val="003E2C93"/>
    <w:rsid w:val="003E3FEE"/>
    <w:rsid w:val="003E7241"/>
    <w:rsid w:val="003F4E37"/>
    <w:rsid w:val="00401E7B"/>
    <w:rsid w:val="00413DE3"/>
    <w:rsid w:val="00414A3A"/>
    <w:rsid w:val="004158E4"/>
    <w:rsid w:val="00424040"/>
    <w:rsid w:val="0042671C"/>
    <w:rsid w:val="00427938"/>
    <w:rsid w:val="0043438C"/>
    <w:rsid w:val="00434959"/>
    <w:rsid w:val="00436F26"/>
    <w:rsid w:val="00440034"/>
    <w:rsid w:val="0044293A"/>
    <w:rsid w:val="0044416E"/>
    <w:rsid w:val="004451E7"/>
    <w:rsid w:val="00453CF9"/>
    <w:rsid w:val="004556E8"/>
    <w:rsid w:val="00464120"/>
    <w:rsid w:val="00467060"/>
    <w:rsid w:val="004725EB"/>
    <w:rsid w:val="00482283"/>
    <w:rsid w:val="00484B66"/>
    <w:rsid w:val="004930B3"/>
    <w:rsid w:val="00493F32"/>
    <w:rsid w:val="004A1B92"/>
    <w:rsid w:val="004A369B"/>
    <w:rsid w:val="004A6BCA"/>
    <w:rsid w:val="004C0B30"/>
    <w:rsid w:val="004C1BA5"/>
    <w:rsid w:val="004D2A02"/>
    <w:rsid w:val="004D2BC6"/>
    <w:rsid w:val="004D36F3"/>
    <w:rsid w:val="004E07E6"/>
    <w:rsid w:val="004E0D05"/>
    <w:rsid w:val="004E4CB6"/>
    <w:rsid w:val="004E61D1"/>
    <w:rsid w:val="004E7E69"/>
    <w:rsid w:val="004F0483"/>
    <w:rsid w:val="004F1C6B"/>
    <w:rsid w:val="004F453D"/>
    <w:rsid w:val="004F7CB5"/>
    <w:rsid w:val="005060AB"/>
    <w:rsid w:val="005102C1"/>
    <w:rsid w:val="00516254"/>
    <w:rsid w:val="00523A3B"/>
    <w:rsid w:val="00524CD2"/>
    <w:rsid w:val="00525A81"/>
    <w:rsid w:val="00527900"/>
    <w:rsid w:val="0053129A"/>
    <w:rsid w:val="005323BC"/>
    <w:rsid w:val="00534DE3"/>
    <w:rsid w:val="00537166"/>
    <w:rsid w:val="005422C8"/>
    <w:rsid w:val="00545D40"/>
    <w:rsid w:val="00550721"/>
    <w:rsid w:val="00553921"/>
    <w:rsid w:val="00554E53"/>
    <w:rsid w:val="00555717"/>
    <w:rsid w:val="005627F0"/>
    <w:rsid w:val="00577F93"/>
    <w:rsid w:val="00586E30"/>
    <w:rsid w:val="005A04F5"/>
    <w:rsid w:val="005A2DCB"/>
    <w:rsid w:val="005A6053"/>
    <w:rsid w:val="005A74F4"/>
    <w:rsid w:val="005B20DD"/>
    <w:rsid w:val="005C1AC0"/>
    <w:rsid w:val="005C2D15"/>
    <w:rsid w:val="005C58C0"/>
    <w:rsid w:val="005C5EA7"/>
    <w:rsid w:val="005D1C2A"/>
    <w:rsid w:val="005D35FD"/>
    <w:rsid w:val="005D7477"/>
    <w:rsid w:val="005E0B2B"/>
    <w:rsid w:val="005E13F1"/>
    <w:rsid w:val="005F26ED"/>
    <w:rsid w:val="005F39A2"/>
    <w:rsid w:val="005F55D0"/>
    <w:rsid w:val="005F740A"/>
    <w:rsid w:val="00601D21"/>
    <w:rsid w:val="00602A83"/>
    <w:rsid w:val="006104A2"/>
    <w:rsid w:val="00614E71"/>
    <w:rsid w:val="00616B2C"/>
    <w:rsid w:val="00620DBB"/>
    <w:rsid w:val="00622817"/>
    <w:rsid w:val="00627B01"/>
    <w:rsid w:val="00634DF3"/>
    <w:rsid w:val="00637407"/>
    <w:rsid w:val="00641707"/>
    <w:rsid w:val="006423AD"/>
    <w:rsid w:val="00642F47"/>
    <w:rsid w:val="00650CF0"/>
    <w:rsid w:val="00652EAC"/>
    <w:rsid w:val="006536A4"/>
    <w:rsid w:val="00654EF4"/>
    <w:rsid w:val="00663E4F"/>
    <w:rsid w:val="006709C9"/>
    <w:rsid w:val="00671238"/>
    <w:rsid w:val="006877A7"/>
    <w:rsid w:val="006937AC"/>
    <w:rsid w:val="00694C60"/>
    <w:rsid w:val="0069608C"/>
    <w:rsid w:val="0069650D"/>
    <w:rsid w:val="006975EC"/>
    <w:rsid w:val="006B167B"/>
    <w:rsid w:val="006B68F0"/>
    <w:rsid w:val="006B711D"/>
    <w:rsid w:val="006C2BFF"/>
    <w:rsid w:val="006C38DE"/>
    <w:rsid w:val="006C4413"/>
    <w:rsid w:val="006D288A"/>
    <w:rsid w:val="006D2E75"/>
    <w:rsid w:val="006D3CAA"/>
    <w:rsid w:val="006D78FD"/>
    <w:rsid w:val="006E13DC"/>
    <w:rsid w:val="006E5748"/>
    <w:rsid w:val="006E5AB1"/>
    <w:rsid w:val="006E606D"/>
    <w:rsid w:val="006F162A"/>
    <w:rsid w:val="006F2E02"/>
    <w:rsid w:val="006F6D93"/>
    <w:rsid w:val="00713012"/>
    <w:rsid w:val="00713EEE"/>
    <w:rsid w:val="00714DCD"/>
    <w:rsid w:val="00717277"/>
    <w:rsid w:val="007279A8"/>
    <w:rsid w:val="00731ED0"/>
    <w:rsid w:val="007379D9"/>
    <w:rsid w:val="0074225C"/>
    <w:rsid w:val="00742F6D"/>
    <w:rsid w:val="00742F9D"/>
    <w:rsid w:val="00746682"/>
    <w:rsid w:val="00750347"/>
    <w:rsid w:val="00754E8A"/>
    <w:rsid w:val="00756AB6"/>
    <w:rsid w:val="00775CCD"/>
    <w:rsid w:val="00777D1F"/>
    <w:rsid w:val="007845E8"/>
    <w:rsid w:val="00787915"/>
    <w:rsid w:val="00795003"/>
    <w:rsid w:val="007A6434"/>
    <w:rsid w:val="007A6923"/>
    <w:rsid w:val="007B321F"/>
    <w:rsid w:val="007B6B65"/>
    <w:rsid w:val="007C07C6"/>
    <w:rsid w:val="007C5614"/>
    <w:rsid w:val="007C56BB"/>
    <w:rsid w:val="007D6E6D"/>
    <w:rsid w:val="007E348E"/>
    <w:rsid w:val="007F441D"/>
    <w:rsid w:val="007F740D"/>
    <w:rsid w:val="007F7A12"/>
    <w:rsid w:val="00805C84"/>
    <w:rsid w:val="00806068"/>
    <w:rsid w:val="00815EFD"/>
    <w:rsid w:val="008178C4"/>
    <w:rsid w:val="00817B5A"/>
    <w:rsid w:val="00817E69"/>
    <w:rsid w:val="0082264D"/>
    <w:rsid w:val="008257EF"/>
    <w:rsid w:val="00833B9D"/>
    <w:rsid w:val="00846785"/>
    <w:rsid w:val="00847C0B"/>
    <w:rsid w:val="00853AC5"/>
    <w:rsid w:val="00861707"/>
    <w:rsid w:val="008639A3"/>
    <w:rsid w:val="008639DB"/>
    <w:rsid w:val="00864FF6"/>
    <w:rsid w:val="008659FF"/>
    <w:rsid w:val="0086689B"/>
    <w:rsid w:val="008674C4"/>
    <w:rsid w:val="00867ECC"/>
    <w:rsid w:val="00872C06"/>
    <w:rsid w:val="00874F34"/>
    <w:rsid w:val="0087540B"/>
    <w:rsid w:val="00876D3C"/>
    <w:rsid w:val="00880998"/>
    <w:rsid w:val="00881BE6"/>
    <w:rsid w:val="00883C70"/>
    <w:rsid w:val="0089017A"/>
    <w:rsid w:val="008915E7"/>
    <w:rsid w:val="0089650B"/>
    <w:rsid w:val="0089701A"/>
    <w:rsid w:val="00897E51"/>
    <w:rsid w:val="008A0F9D"/>
    <w:rsid w:val="008B14FE"/>
    <w:rsid w:val="008B2436"/>
    <w:rsid w:val="008B292B"/>
    <w:rsid w:val="008B3526"/>
    <w:rsid w:val="008B4025"/>
    <w:rsid w:val="008B50E2"/>
    <w:rsid w:val="008B6243"/>
    <w:rsid w:val="008B7E7C"/>
    <w:rsid w:val="008C03BA"/>
    <w:rsid w:val="008C0DBD"/>
    <w:rsid w:val="008C52FB"/>
    <w:rsid w:val="008D045F"/>
    <w:rsid w:val="008D2B6F"/>
    <w:rsid w:val="008D2C3C"/>
    <w:rsid w:val="008D4B31"/>
    <w:rsid w:val="008D4F6F"/>
    <w:rsid w:val="008D6DC3"/>
    <w:rsid w:val="008E2396"/>
    <w:rsid w:val="008E7452"/>
    <w:rsid w:val="00902FD2"/>
    <w:rsid w:val="00903312"/>
    <w:rsid w:val="009034A6"/>
    <w:rsid w:val="00906754"/>
    <w:rsid w:val="0091057D"/>
    <w:rsid w:val="00921C4F"/>
    <w:rsid w:val="00926AAF"/>
    <w:rsid w:val="00934682"/>
    <w:rsid w:val="009353D5"/>
    <w:rsid w:val="009366ED"/>
    <w:rsid w:val="00940433"/>
    <w:rsid w:val="00940519"/>
    <w:rsid w:val="00943C10"/>
    <w:rsid w:val="00946097"/>
    <w:rsid w:val="00952852"/>
    <w:rsid w:val="009566C4"/>
    <w:rsid w:val="009605A9"/>
    <w:rsid w:val="00970312"/>
    <w:rsid w:val="00970FC4"/>
    <w:rsid w:val="00974948"/>
    <w:rsid w:val="00975EDA"/>
    <w:rsid w:val="00976A33"/>
    <w:rsid w:val="00980406"/>
    <w:rsid w:val="00982F1B"/>
    <w:rsid w:val="00985932"/>
    <w:rsid w:val="009A10CC"/>
    <w:rsid w:val="009A15F7"/>
    <w:rsid w:val="009A38C9"/>
    <w:rsid w:val="009B4412"/>
    <w:rsid w:val="009B45B4"/>
    <w:rsid w:val="009C20CB"/>
    <w:rsid w:val="009D2E8C"/>
    <w:rsid w:val="009D4F90"/>
    <w:rsid w:val="009E0871"/>
    <w:rsid w:val="009E344F"/>
    <w:rsid w:val="009F1801"/>
    <w:rsid w:val="009F62A6"/>
    <w:rsid w:val="00A0210A"/>
    <w:rsid w:val="00A030A7"/>
    <w:rsid w:val="00A0472F"/>
    <w:rsid w:val="00A04E27"/>
    <w:rsid w:val="00A159C7"/>
    <w:rsid w:val="00A15FAC"/>
    <w:rsid w:val="00A16F10"/>
    <w:rsid w:val="00A22100"/>
    <w:rsid w:val="00A22C24"/>
    <w:rsid w:val="00A22D38"/>
    <w:rsid w:val="00A23FC6"/>
    <w:rsid w:val="00A24130"/>
    <w:rsid w:val="00A2529B"/>
    <w:rsid w:val="00A25E47"/>
    <w:rsid w:val="00A26793"/>
    <w:rsid w:val="00A30B6B"/>
    <w:rsid w:val="00A33508"/>
    <w:rsid w:val="00A34A24"/>
    <w:rsid w:val="00A40E79"/>
    <w:rsid w:val="00A456DD"/>
    <w:rsid w:val="00A503ED"/>
    <w:rsid w:val="00A53F6A"/>
    <w:rsid w:val="00A55BED"/>
    <w:rsid w:val="00A60A7B"/>
    <w:rsid w:val="00A62CDC"/>
    <w:rsid w:val="00A6598A"/>
    <w:rsid w:val="00A6679B"/>
    <w:rsid w:val="00A66BE6"/>
    <w:rsid w:val="00A74E13"/>
    <w:rsid w:val="00A7526C"/>
    <w:rsid w:val="00A75719"/>
    <w:rsid w:val="00A776B8"/>
    <w:rsid w:val="00A807E0"/>
    <w:rsid w:val="00A82BDF"/>
    <w:rsid w:val="00A8342F"/>
    <w:rsid w:val="00A83B27"/>
    <w:rsid w:val="00A849AB"/>
    <w:rsid w:val="00A904C7"/>
    <w:rsid w:val="00A948E8"/>
    <w:rsid w:val="00A95078"/>
    <w:rsid w:val="00AA2BC0"/>
    <w:rsid w:val="00AA508C"/>
    <w:rsid w:val="00AA778A"/>
    <w:rsid w:val="00AA7955"/>
    <w:rsid w:val="00AB3530"/>
    <w:rsid w:val="00AB512B"/>
    <w:rsid w:val="00AC019E"/>
    <w:rsid w:val="00AC486E"/>
    <w:rsid w:val="00AD7E74"/>
    <w:rsid w:val="00AE0A8E"/>
    <w:rsid w:val="00AF0516"/>
    <w:rsid w:val="00AF3FD2"/>
    <w:rsid w:val="00AF62CA"/>
    <w:rsid w:val="00B14C0D"/>
    <w:rsid w:val="00B17477"/>
    <w:rsid w:val="00B176C3"/>
    <w:rsid w:val="00B21FED"/>
    <w:rsid w:val="00B223C6"/>
    <w:rsid w:val="00B231D4"/>
    <w:rsid w:val="00B37F29"/>
    <w:rsid w:val="00B42570"/>
    <w:rsid w:val="00B502F3"/>
    <w:rsid w:val="00B50654"/>
    <w:rsid w:val="00B5097B"/>
    <w:rsid w:val="00B5235B"/>
    <w:rsid w:val="00B644A4"/>
    <w:rsid w:val="00B66B6D"/>
    <w:rsid w:val="00B6747B"/>
    <w:rsid w:val="00B70623"/>
    <w:rsid w:val="00B715E7"/>
    <w:rsid w:val="00B74B4C"/>
    <w:rsid w:val="00B8322E"/>
    <w:rsid w:val="00BB16AC"/>
    <w:rsid w:val="00BB6ABB"/>
    <w:rsid w:val="00BC413D"/>
    <w:rsid w:val="00BC7E11"/>
    <w:rsid w:val="00BD1109"/>
    <w:rsid w:val="00BD264D"/>
    <w:rsid w:val="00BD5D75"/>
    <w:rsid w:val="00BD78F7"/>
    <w:rsid w:val="00BD7C06"/>
    <w:rsid w:val="00BE2004"/>
    <w:rsid w:val="00BF1267"/>
    <w:rsid w:val="00BF4C41"/>
    <w:rsid w:val="00BF5079"/>
    <w:rsid w:val="00BF78BC"/>
    <w:rsid w:val="00C069A1"/>
    <w:rsid w:val="00C22EDB"/>
    <w:rsid w:val="00C23360"/>
    <w:rsid w:val="00C3022A"/>
    <w:rsid w:val="00C371C1"/>
    <w:rsid w:val="00C40A12"/>
    <w:rsid w:val="00C43459"/>
    <w:rsid w:val="00C44EB4"/>
    <w:rsid w:val="00C509C3"/>
    <w:rsid w:val="00C5287C"/>
    <w:rsid w:val="00C53061"/>
    <w:rsid w:val="00C538DD"/>
    <w:rsid w:val="00C54AE4"/>
    <w:rsid w:val="00C579DE"/>
    <w:rsid w:val="00C61020"/>
    <w:rsid w:val="00C63698"/>
    <w:rsid w:val="00C66011"/>
    <w:rsid w:val="00C72E6A"/>
    <w:rsid w:val="00C7572D"/>
    <w:rsid w:val="00C7597B"/>
    <w:rsid w:val="00C7704A"/>
    <w:rsid w:val="00C77156"/>
    <w:rsid w:val="00C861C8"/>
    <w:rsid w:val="00C87125"/>
    <w:rsid w:val="00C91756"/>
    <w:rsid w:val="00C91F01"/>
    <w:rsid w:val="00C921A2"/>
    <w:rsid w:val="00C93B95"/>
    <w:rsid w:val="00C93DE0"/>
    <w:rsid w:val="00CA052B"/>
    <w:rsid w:val="00CA2187"/>
    <w:rsid w:val="00CA3A16"/>
    <w:rsid w:val="00CB1D6F"/>
    <w:rsid w:val="00CB45F8"/>
    <w:rsid w:val="00CB78C4"/>
    <w:rsid w:val="00CB7B2C"/>
    <w:rsid w:val="00CC0040"/>
    <w:rsid w:val="00CC2E07"/>
    <w:rsid w:val="00CC5C4E"/>
    <w:rsid w:val="00CC6A71"/>
    <w:rsid w:val="00CD6CEF"/>
    <w:rsid w:val="00CE1CF7"/>
    <w:rsid w:val="00CE28CE"/>
    <w:rsid w:val="00CE683F"/>
    <w:rsid w:val="00CF04B7"/>
    <w:rsid w:val="00CF232A"/>
    <w:rsid w:val="00CF5221"/>
    <w:rsid w:val="00D0114A"/>
    <w:rsid w:val="00D01832"/>
    <w:rsid w:val="00D02341"/>
    <w:rsid w:val="00D064E1"/>
    <w:rsid w:val="00D11027"/>
    <w:rsid w:val="00D11554"/>
    <w:rsid w:val="00D16E5E"/>
    <w:rsid w:val="00D17C5B"/>
    <w:rsid w:val="00D2477D"/>
    <w:rsid w:val="00D27558"/>
    <w:rsid w:val="00D31F0F"/>
    <w:rsid w:val="00D366EF"/>
    <w:rsid w:val="00D46DD0"/>
    <w:rsid w:val="00D5758B"/>
    <w:rsid w:val="00D60D31"/>
    <w:rsid w:val="00D61798"/>
    <w:rsid w:val="00D651C8"/>
    <w:rsid w:val="00D6585B"/>
    <w:rsid w:val="00D708EB"/>
    <w:rsid w:val="00D71385"/>
    <w:rsid w:val="00D7234D"/>
    <w:rsid w:val="00D72511"/>
    <w:rsid w:val="00D80A63"/>
    <w:rsid w:val="00D815E9"/>
    <w:rsid w:val="00D85A93"/>
    <w:rsid w:val="00D85B51"/>
    <w:rsid w:val="00D863BB"/>
    <w:rsid w:val="00D9120C"/>
    <w:rsid w:val="00D962CC"/>
    <w:rsid w:val="00DA675E"/>
    <w:rsid w:val="00DA679F"/>
    <w:rsid w:val="00DB393B"/>
    <w:rsid w:val="00DB7280"/>
    <w:rsid w:val="00DB7F97"/>
    <w:rsid w:val="00DC069D"/>
    <w:rsid w:val="00DC41C8"/>
    <w:rsid w:val="00DC425F"/>
    <w:rsid w:val="00DD269A"/>
    <w:rsid w:val="00DD315A"/>
    <w:rsid w:val="00DD33BE"/>
    <w:rsid w:val="00DD3580"/>
    <w:rsid w:val="00DD67B2"/>
    <w:rsid w:val="00DD6ADD"/>
    <w:rsid w:val="00DD6E1D"/>
    <w:rsid w:val="00DD748C"/>
    <w:rsid w:val="00DE3751"/>
    <w:rsid w:val="00DE7D52"/>
    <w:rsid w:val="00DF0916"/>
    <w:rsid w:val="00DF1454"/>
    <w:rsid w:val="00DF4420"/>
    <w:rsid w:val="00DF52DA"/>
    <w:rsid w:val="00E02B07"/>
    <w:rsid w:val="00E043EF"/>
    <w:rsid w:val="00E1052D"/>
    <w:rsid w:val="00E24FE4"/>
    <w:rsid w:val="00E27ADE"/>
    <w:rsid w:val="00E27B98"/>
    <w:rsid w:val="00E31D2E"/>
    <w:rsid w:val="00E33D99"/>
    <w:rsid w:val="00E4528F"/>
    <w:rsid w:val="00E45A46"/>
    <w:rsid w:val="00E46CB2"/>
    <w:rsid w:val="00E501FF"/>
    <w:rsid w:val="00E50D91"/>
    <w:rsid w:val="00E5277F"/>
    <w:rsid w:val="00E60F04"/>
    <w:rsid w:val="00E70492"/>
    <w:rsid w:val="00E76900"/>
    <w:rsid w:val="00E91269"/>
    <w:rsid w:val="00E91FC9"/>
    <w:rsid w:val="00E946B6"/>
    <w:rsid w:val="00E96E59"/>
    <w:rsid w:val="00E96FF2"/>
    <w:rsid w:val="00E97DA6"/>
    <w:rsid w:val="00EA0912"/>
    <w:rsid w:val="00EA102B"/>
    <w:rsid w:val="00EA1106"/>
    <w:rsid w:val="00EA1CEA"/>
    <w:rsid w:val="00EB16BC"/>
    <w:rsid w:val="00EB546B"/>
    <w:rsid w:val="00EB5BDF"/>
    <w:rsid w:val="00EC159B"/>
    <w:rsid w:val="00EC5825"/>
    <w:rsid w:val="00EC7565"/>
    <w:rsid w:val="00ED19A0"/>
    <w:rsid w:val="00ED66A9"/>
    <w:rsid w:val="00EE114C"/>
    <w:rsid w:val="00EE1D81"/>
    <w:rsid w:val="00EE218F"/>
    <w:rsid w:val="00EE38D0"/>
    <w:rsid w:val="00EE421E"/>
    <w:rsid w:val="00EE59C4"/>
    <w:rsid w:val="00EE6A47"/>
    <w:rsid w:val="00EF4FE6"/>
    <w:rsid w:val="00F00DFB"/>
    <w:rsid w:val="00F04A14"/>
    <w:rsid w:val="00F0732D"/>
    <w:rsid w:val="00F12569"/>
    <w:rsid w:val="00F14DE4"/>
    <w:rsid w:val="00F2205F"/>
    <w:rsid w:val="00F225B5"/>
    <w:rsid w:val="00F23E53"/>
    <w:rsid w:val="00F2547D"/>
    <w:rsid w:val="00F25E9F"/>
    <w:rsid w:val="00F3275E"/>
    <w:rsid w:val="00F33509"/>
    <w:rsid w:val="00F41D69"/>
    <w:rsid w:val="00F426D3"/>
    <w:rsid w:val="00F47381"/>
    <w:rsid w:val="00F503AC"/>
    <w:rsid w:val="00F50727"/>
    <w:rsid w:val="00F51527"/>
    <w:rsid w:val="00F51DA1"/>
    <w:rsid w:val="00F51F57"/>
    <w:rsid w:val="00F73179"/>
    <w:rsid w:val="00F77F34"/>
    <w:rsid w:val="00F81B0B"/>
    <w:rsid w:val="00F81C85"/>
    <w:rsid w:val="00F94C76"/>
    <w:rsid w:val="00FA12EC"/>
    <w:rsid w:val="00FA70EB"/>
    <w:rsid w:val="00FB5F9B"/>
    <w:rsid w:val="00FB6C7F"/>
    <w:rsid w:val="00FC02B3"/>
    <w:rsid w:val="00FC6BAC"/>
    <w:rsid w:val="00FD5A91"/>
    <w:rsid w:val="00FE08B8"/>
    <w:rsid w:val="00FF3B7D"/>
    <w:rsid w:val="00FF5BC8"/>
    <w:rsid w:val="01EF1657"/>
    <w:rsid w:val="023C1BF0"/>
    <w:rsid w:val="02E226FB"/>
    <w:rsid w:val="03EB15DD"/>
    <w:rsid w:val="04B431B1"/>
    <w:rsid w:val="060D0DBE"/>
    <w:rsid w:val="0AD53F20"/>
    <w:rsid w:val="0C42075F"/>
    <w:rsid w:val="0C9537CF"/>
    <w:rsid w:val="0EFC1000"/>
    <w:rsid w:val="11D50F5D"/>
    <w:rsid w:val="127C59E8"/>
    <w:rsid w:val="138E7B7A"/>
    <w:rsid w:val="15714F96"/>
    <w:rsid w:val="164125A5"/>
    <w:rsid w:val="165F5215"/>
    <w:rsid w:val="17DB48A0"/>
    <w:rsid w:val="187327BD"/>
    <w:rsid w:val="18DC4FBF"/>
    <w:rsid w:val="197E3A22"/>
    <w:rsid w:val="1A1E49AB"/>
    <w:rsid w:val="1B3A2CA8"/>
    <w:rsid w:val="1B6D54B7"/>
    <w:rsid w:val="1C611A5A"/>
    <w:rsid w:val="1DFE6512"/>
    <w:rsid w:val="1E1F15CE"/>
    <w:rsid w:val="1E410C70"/>
    <w:rsid w:val="20D11DC7"/>
    <w:rsid w:val="2107136B"/>
    <w:rsid w:val="21CD6AB5"/>
    <w:rsid w:val="225B71D0"/>
    <w:rsid w:val="226678D9"/>
    <w:rsid w:val="242714D3"/>
    <w:rsid w:val="248C709C"/>
    <w:rsid w:val="2590170F"/>
    <w:rsid w:val="25CD384E"/>
    <w:rsid w:val="27913507"/>
    <w:rsid w:val="28654F9C"/>
    <w:rsid w:val="2AB93EDB"/>
    <w:rsid w:val="2BB22C87"/>
    <w:rsid w:val="2C921FCF"/>
    <w:rsid w:val="2CF40BEF"/>
    <w:rsid w:val="2D146264"/>
    <w:rsid w:val="2D3D3232"/>
    <w:rsid w:val="30876895"/>
    <w:rsid w:val="311E304C"/>
    <w:rsid w:val="32B440F3"/>
    <w:rsid w:val="34171B12"/>
    <w:rsid w:val="36265082"/>
    <w:rsid w:val="36433543"/>
    <w:rsid w:val="39235170"/>
    <w:rsid w:val="3AB65024"/>
    <w:rsid w:val="3CA6751B"/>
    <w:rsid w:val="3CAA7142"/>
    <w:rsid w:val="3CAD6BFA"/>
    <w:rsid w:val="3D5926B2"/>
    <w:rsid w:val="3E2B03B9"/>
    <w:rsid w:val="3ECA276D"/>
    <w:rsid w:val="40646D0C"/>
    <w:rsid w:val="40983891"/>
    <w:rsid w:val="42B43C54"/>
    <w:rsid w:val="45830A4E"/>
    <w:rsid w:val="47240519"/>
    <w:rsid w:val="486311F7"/>
    <w:rsid w:val="49380D36"/>
    <w:rsid w:val="4A671659"/>
    <w:rsid w:val="4D667BAF"/>
    <w:rsid w:val="4DA521E5"/>
    <w:rsid w:val="4DB86B62"/>
    <w:rsid w:val="4EC918D2"/>
    <w:rsid w:val="4F855281"/>
    <w:rsid w:val="52203DE5"/>
    <w:rsid w:val="52AF3FC8"/>
    <w:rsid w:val="53564D9D"/>
    <w:rsid w:val="546F4A33"/>
    <w:rsid w:val="54DA2905"/>
    <w:rsid w:val="54EC7875"/>
    <w:rsid w:val="54FD31CF"/>
    <w:rsid w:val="57153B45"/>
    <w:rsid w:val="576F2D86"/>
    <w:rsid w:val="58F61AC2"/>
    <w:rsid w:val="591150F1"/>
    <w:rsid w:val="5AAA10A0"/>
    <w:rsid w:val="5AAB40A6"/>
    <w:rsid w:val="5C061E29"/>
    <w:rsid w:val="5C976E58"/>
    <w:rsid w:val="61E23A6F"/>
    <w:rsid w:val="62412F49"/>
    <w:rsid w:val="624553E4"/>
    <w:rsid w:val="6276429E"/>
    <w:rsid w:val="62F4026E"/>
    <w:rsid w:val="635051A2"/>
    <w:rsid w:val="65561D37"/>
    <w:rsid w:val="67306069"/>
    <w:rsid w:val="67587B68"/>
    <w:rsid w:val="690D1140"/>
    <w:rsid w:val="6ABB6D6B"/>
    <w:rsid w:val="6AF56335"/>
    <w:rsid w:val="6B241F3D"/>
    <w:rsid w:val="6B8A782C"/>
    <w:rsid w:val="6BE172C8"/>
    <w:rsid w:val="6EB73D1C"/>
    <w:rsid w:val="6F47575B"/>
    <w:rsid w:val="6F535ACE"/>
    <w:rsid w:val="6FE76DC4"/>
    <w:rsid w:val="724A7762"/>
    <w:rsid w:val="72931D35"/>
    <w:rsid w:val="73247101"/>
    <w:rsid w:val="74225F9B"/>
    <w:rsid w:val="746F7336"/>
    <w:rsid w:val="747852FC"/>
    <w:rsid w:val="75A53AB5"/>
    <w:rsid w:val="77EC41DA"/>
    <w:rsid w:val="785B6B77"/>
    <w:rsid w:val="790338DF"/>
    <w:rsid w:val="7A595755"/>
    <w:rsid w:val="7D175C20"/>
    <w:rsid w:val="7D89205F"/>
    <w:rsid w:val="7DEF5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ocked="1"/>
    <w:lsdException w:qFormat="1" w:unhideWhenUsed="0" w:uiPriority="39"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qFormat="1" w:uiPriority="99" w:semiHidden="0"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6"/>
    <w:qFormat/>
    <w:locked/>
    <w:uiPriority w:val="99"/>
    <w:pPr>
      <w:keepNext/>
      <w:keepLines/>
      <w:spacing w:line="576" w:lineRule="auto"/>
      <w:outlineLvl w:val="0"/>
    </w:pPr>
    <w:rPr>
      <w:b/>
      <w:kern w:val="44"/>
      <w:sz w:val="44"/>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17"/>
    <w:unhideWhenUsed/>
    <w:qFormat/>
    <w:uiPriority w:val="99"/>
    <w:rPr>
      <w:rFonts w:ascii="宋体"/>
      <w:sz w:val="18"/>
      <w:szCs w:val="18"/>
    </w:rPr>
  </w:style>
  <w:style w:type="paragraph" w:styleId="4">
    <w:name w:val="annotation text"/>
    <w:basedOn w:val="1"/>
    <w:link w:val="18"/>
    <w:semiHidden/>
    <w:qFormat/>
    <w:uiPriority w:val="99"/>
    <w:pPr>
      <w:jc w:val="left"/>
    </w:pPr>
  </w:style>
  <w:style w:type="paragraph" w:styleId="5">
    <w:name w:val="Balloon Text"/>
    <w:basedOn w:val="1"/>
    <w:link w:val="19"/>
    <w:semiHidden/>
    <w:qFormat/>
    <w:uiPriority w:val="99"/>
    <w:rPr>
      <w:sz w:val="18"/>
      <w:szCs w:val="18"/>
    </w:rPr>
  </w:style>
  <w:style w:type="paragraph" w:styleId="6">
    <w:name w:val="footer"/>
    <w:basedOn w:val="1"/>
    <w:link w:val="20"/>
    <w:qFormat/>
    <w:uiPriority w:val="99"/>
    <w:pPr>
      <w:tabs>
        <w:tab w:val="center" w:pos="4153"/>
        <w:tab w:val="right" w:pos="8306"/>
      </w:tabs>
      <w:snapToGrid w:val="0"/>
      <w:jc w:val="left"/>
    </w:pPr>
    <w:rPr>
      <w:sz w:val="18"/>
      <w:szCs w:val="18"/>
    </w:rPr>
  </w:style>
  <w:style w:type="paragraph" w:styleId="7">
    <w:name w:val="header"/>
    <w:basedOn w:val="1"/>
    <w:link w:val="21"/>
    <w:semiHidden/>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locked/>
    <w:uiPriority w:val="39"/>
  </w:style>
  <w:style w:type="paragraph" w:styleId="9">
    <w:name w:val="toc 2"/>
    <w:basedOn w:val="1"/>
    <w:next w:val="1"/>
    <w:qFormat/>
    <w:locked/>
    <w:uiPriority w:val="39"/>
    <w:pPr>
      <w:ind w:left="420" w:leftChars="200"/>
    </w:pPr>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1">
    <w:name w:val="annotation subject"/>
    <w:basedOn w:val="4"/>
    <w:next w:val="4"/>
    <w:link w:val="22"/>
    <w:unhideWhenUsed/>
    <w:qFormat/>
    <w:uiPriority w:val="99"/>
    <w:rPr>
      <w:b/>
      <w:bCs/>
    </w:rPr>
  </w:style>
  <w:style w:type="character" w:styleId="14">
    <w:name w:val="Hyperlink"/>
    <w:basedOn w:val="13"/>
    <w:qFormat/>
    <w:uiPriority w:val="99"/>
    <w:rPr>
      <w:rFonts w:cs="Times New Roman"/>
      <w:color w:val="0000FF"/>
      <w:u w:val="single"/>
    </w:rPr>
  </w:style>
  <w:style w:type="character" w:styleId="15">
    <w:name w:val="annotation reference"/>
    <w:basedOn w:val="13"/>
    <w:semiHidden/>
    <w:qFormat/>
    <w:uiPriority w:val="99"/>
    <w:rPr>
      <w:rFonts w:cs="Times New Roman"/>
      <w:sz w:val="21"/>
      <w:szCs w:val="21"/>
    </w:rPr>
  </w:style>
  <w:style w:type="character" w:customStyle="1" w:styleId="16">
    <w:name w:val="标题 1 Char"/>
    <w:basedOn w:val="13"/>
    <w:link w:val="2"/>
    <w:qFormat/>
    <w:locked/>
    <w:uiPriority w:val="99"/>
    <w:rPr>
      <w:rFonts w:ascii="Calibri" w:hAnsi="Calibri" w:cs="Times New Roman"/>
      <w:b/>
      <w:bCs/>
      <w:kern w:val="44"/>
      <w:sz w:val="44"/>
      <w:szCs w:val="44"/>
    </w:rPr>
  </w:style>
  <w:style w:type="character" w:customStyle="1" w:styleId="17">
    <w:name w:val="文档结构图 Char"/>
    <w:basedOn w:val="13"/>
    <w:link w:val="3"/>
    <w:semiHidden/>
    <w:qFormat/>
    <w:uiPriority w:val="99"/>
    <w:rPr>
      <w:rFonts w:ascii="宋体" w:hAnsi="Calibri"/>
      <w:kern w:val="2"/>
      <w:sz w:val="18"/>
      <w:szCs w:val="18"/>
    </w:rPr>
  </w:style>
  <w:style w:type="character" w:customStyle="1" w:styleId="18">
    <w:name w:val="批注文字 Char"/>
    <w:basedOn w:val="13"/>
    <w:link w:val="4"/>
    <w:semiHidden/>
    <w:qFormat/>
    <w:locked/>
    <w:uiPriority w:val="99"/>
    <w:rPr>
      <w:rFonts w:ascii="Calibri" w:hAnsi="Calibri" w:cs="Times New Roman"/>
    </w:rPr>
  </w:style>
  <w:style w:type="character" w:customStyle="1" w:styleId="19">
    <w:name w:val="批注框文本 Char"/>
    <w:basedOn w:val="13"/>
    <w:link w:val="5"/>
    <w:semiHidden/>
    <w:qFormat/>
    <w:locked/>
    <w:uiPriority w:val="99"/>
    <w:rPr>
      <w:rFonts w:ascii="Calibri" w:hAnsi="Calibri" w:cs="Times New Roman"/>
      <w:sz w:val="2"/>
    </w:rPr>
  </w:style>
  <w:style w:type="character" w:customStyle="1" w:styleId="20">
    <w:name w:val="页脚 Char"/>
    <w:basedOn w:val="13"/>
    <w:link w:val="6"/>
    <w:qFormat/>
    <w:locked/>
    <w:uiPriority w:val="99"/>
    <w:rPr>
      <w:rFonts w:cs="Times New Roman"/>
      <w:sz w:val="18"/>
      <w:szCs w:val="18"/>
    </w:rPr>
  </w:style>
  <w:style w:type="character" w:customStyle="1" w:styleId="21">
    <w:name w:val="页眉 Char"/>
    <w:basedOn w:val="13"/>
    <w:link w:val="7"/>
    <w:semiHidden/>
    <w:qFormat/>
    <w:locked/>
    <w:uiPriority w:val="99"/>
    <w:rPr>
      <w:rFonts w:cs="Times New Roman"/>
      <w:sz w:val="18"/>
      <w:szCs w:val="18"/>
    </w:rPr>
  </w:style>
  <w:style w:type="character" w:customStyle="1" w:styleId="22">
    <w:name w:val="批注主题 Char"/>
    <w:basedOn w:val="18"/>
    <w:link w:val="11"/>
    <w:semiHidden/>
    <w:qFormat/>
    <w:uiPriority w:val="99"/>
    <w:rPr>
      <w:b/>
      <w:bCs/>
      <w:kern w:val="2"/>
      <w:sz w:val="21"/>
      <w:szCs w:val="22"/>
    </w:rPr>
  </w:style>
  <w:style w:type="paragraph" w:customStyle="1" w:styleId="23">
    <w:name w:val="WPSOffice手动目录 1"/>
    <w:qFormat/>
    <w:uiPriority w:val="99"/>
    <w:rPr>
      <w:rFonts w:ascii="Times New Roman" w:hAnsi="Times New Roman" w:eastAsia="宋体" w:cs="Times New Roman"/>
      <w:lang w:val="en-US" w:eastAsia="zh-CN" w:bidi="ar-SA"/>
    </w:rPr>
  </w:style>
  <w:style w:type="paragraph" w:customStyle="1" w:styleId="24">
    <w:name w:val="WPSOffice手动目录 2"/>
    <w:qFormat/>
    <w:uiPriority w:val="99"/>
    <w:pPr>
      <w:ind w:left="200" w:leftChars="200"/>
    </w:pPr>
    <w:rPr>
      <w:rFonts w:ascii="Times New Roman" w:hAnsi="Times New Roman" w:eastAsia="宋体" w:cs="Times New Roman"/>
      <w:lang w:val="en-US" w:eastAsia="zh-CN" w:bidi="ar-SA"/>
    </w:rPr>
  </w:style>
  <w:style w:type="paragraph" w:customStyle="1" w:styleId="25">
    <w:name w:val="WPSOffice手动目录 3"/>
    <w:qFormat/>
    <w:uiPriority w:val="99"/>
    <w:pPr>
      <w:ind w:left="400" w:leftChars="4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8192</Words>
  <Characters>8483</Characters>
  <Lines>66</Lines>
  <Paragraphs>18</Paragraphs>
  <TotalTime>4</TotalTime>
  <ScaleCrop>false</ScaleCrop>
  <LinksUpToDate>false</LinksUpToDate>
  <CharactersWithSpaces>8561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2022-04-26T03:26:00Z</dcterms:created>
  <dc:creator>dell</dc:creator>
  <cp:lastModifiedBy>小小小嬅</cp:lastModifiedBy>
  <cp:lastPrinted>2023-04-21T07:37:00Z</cp:lastPrinted>
  <dcterms:modified xsi:type="dcterms:W3CDTF">2023-08-24T02:00:08Z</dcterms:modified>
  <dc:title>2019年秋季厦门市事业单位市、区联合招聘编内工作人员考试报考指南</dc:title>
  <cp:revision>105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2D9F724FEB84470BBA8529AFD3FBD7D3_13</vt:lpwstr>
  </property>
</Properties>
</file>