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left"/>
        <w:rPr>
          <w:rFonts w:hint="default" w:ascii="仿宋_GB2312" w:hAnsi="仿宋_GB2312" w:eastAsia="仿宋_GB2312" w:cs="仿宋_GB2312"/>
          <w:snapToGrid w:val="0"/>
          <w:color w:val="auto"/>
          <w:sz w:val="32"/>
          <w:lang w:val="en-US" w:eastAsia="zh-CN"/>
        </w:rPr>
      </w:pPr>
      <w:bookmarkStart w:id="2" w:name="_GoBack"/>
      <w:r>
        <w:rPr>
          <w:rFonts w:hint="eastAsia" w:ascii="仿宋_GB2312" w:hAnsi="仿宋_GB2312" w:eastAsia="仿宋_GB2312" w:cs="仿宋_GB2312"/>
          <w:snapToGrid w:val="0"/>
          <w:color w:val="auto"/>
          <w:sz w:val="32"/>
        </w:rPr>
        <w:t>附件3</w:t>
      </w:r>
      <w:r>
        <w:rPr>
          <w:rFonts w:hint="eastAsia" w:ascii="仿宋_GB2312" w:hAnsi="仿宋_GB2312" w:eastAsia="仿宋_GB2312" w:cs="仿宋_GB2312"/>
          <w:snapToGrid w:val="0"/>
          <w:color w:val="auto"/>
          <w:sz w:val="32"/>
          <w:lang w:val="en-US" w:eastAsia="zh-CN"/>
        </w:rPr>
        <w:t>-1</w:t>
      </w:r>
    </w:p>
    <w:p>
      <w:pPr>
        <w:spacing w:line="520" w:lineRule="exact"/>
        <w:jc w:val="center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电工专业招聘考试大纲</w:t>
      </w:r>
    </w:p>
    <w:bookmarkEnd w:id="2"/>
    <w:p>
      <w:pPr>
        <w:spacing w:line="520" w:lineRule="exact"/>
        <w:jc w:val="center"/>
        <w:rPr>
          <w:rFonts w:ascii="Times New Roman" w:hAnsi="Times New Roman" w:eastAsia="黑体"/>
          <w:sz w:val="32"/>
          <w:szCs w:val="32"/>
        </w:rPr>
      </w:pPr>
    </w:p>
    <w:p>
      <w:pPr>
        <w:spacing w:line="520" w:lineRule="exact"/>
        <w:jc w:val="left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w:t>一、公共与行业知识（2</w:t>
      </w:r>
      <w:r>
        <w:rPr>
          <w:rFonts w:hint="eastAsia" w:ascii="黑体" w:hAnsi="黑体" w:eastAsia="黑体"/>
          <w:sz w:val="28"/>
          <w:szCs w:val="28"/>
        </w:rPr>
        <w:t>0</w:t>
      </w:r>
      <w:r>
        <w:rPr>
          <w:rFonts w:ascii="黑体" w:hAnsi="黑体" w:eastAsia="黑体"/>
          <w:sz w:val="28"/>
          <w:szCs w:val="28"/>
        </w:rPr>
        <w:t>%）</w:t>
      </w:r>
    </w:p>
    <w:tbl>
      <w:tblPr>
        <w:tblStyle w:val="8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850"/>
        <w:gridCol w:w="6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560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类别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6379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主要知识结构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560" w:type="dxa"/>
            <w:vMerge w:val="restart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一般能力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6379" w:type="dxa"/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言语理解：对语言文字的综合分析能力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560" w:type="dxa"/>
            <w:vMerge w:val="continue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6379" w:type="dxa"/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数理思维：快速理解和解决算数问题的能力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560" w:type="dxa"/>
            <w:vMerge w:val="continue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6379" w:type="dxa"/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判断推理：根据一定的先知条件，通过自己拥有的知识、思维进行判定、推断，对事物得出自己的结论的能力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560" w:type="dxa"/>
            <w:vMerge w:val="continue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6379" w:type="dxa"/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资料分析：主要包括文字类资料、表格类资料、图形类资料和综合类资料四种基本形式，综合考查应试者的阅读、理解、分析、计算等方面的能力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560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形势与政策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6379" w:type="dxa"/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中国共产党和中国政府现阶段的重大方针策，2022年1月至今的国际、国内重大时事</w:t>
            </w:r>
          </w:p>
        </w:tc>
      </w:tr>
    </w:tbl>
    <w:p>
      <w:pPr>
        <w:spacing w:line="520" w:lineRule="exact"/>
        <w:jc w:val="left"/>
        <w:rPr>
          <w:rFonts w:ascii="黑体" w:hAnsi="黑体" w:eastAsia="黑体"/>
          <w:sz w:val="28"/>
          <w:szCs w:val="28"/>
        </w:rPr>
      </w:pPr>
      <w:bookmarkStart w:id="0" w:name="_Toc493086255"/>
      <w:bookmarkStart w:id="1" w:name="_Toc493087560"/>
      <w:r>
        <w:rPr>
          <w:rFonts w:ascii="黑体" w:hAnsi="黑体" w:eastAsia="黑体"/>
          <w:sz w:val="28"/>
          <w:szCs w:val="28"/>
        </w:rPr>
        <w:t>二、专业知识（</w:t>
      </w:r>
      <w:r>
        <w:rPr>
          <w:rFonts w:hint="eastAsia" w:ascii="黑体" w:hAnsi="黑体" w:eastAsia="黑体"/>
          <w:sz w:val="28"/>
          <w:szCs w:val="28"/>
        </w:rPr>
        <w:t>80</w:t>
      </w:r>
      <w:r>
        <w:rPr>
          <w:rFonts w:ascii="黑体" w:hAnsi="黑体" w:eastAsia="黑体"/>
          <w:sz w:val="28"/>
          <w:szCs w:val="28"/>
        </w:rPr>
        <w:t>%）</w:t>
      </w:r>
      <w:bookmarkEnd w:id="0"/>
      <w:bookmarkEnd w:id="1"/>
    </w:p>
    <w:tbl>
      <w:tblPr>
        <w:tblStyle w:val="8"/>
        <w:tblW w:w="8804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850"/>
        <w:gridCol w:w="6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575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主要课程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6379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主要知识点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restart"/>
            <w:tcBorders>
              <w:top w:val="nil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电工技术基础</w:t>
            </w:r>
          </w:p>
        </w:tc>
        <w:tc>
          <w:tcPr>
            <w:tcW w:w="850" w:type="dxa"/>
            <w:tcBorders>
              <w:top w:val="nil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nil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电路的基本概念与基本定律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</w:t>
            </w:r>
          </w:p>
        </w:tc>
        <w:tc>
          <w:tcPr>
            <w:tcW w:w="6379" w:type="dxa"/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电阻电路的等效变换与分析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3</w:t>
            </w:r>
          </w:p>
        </w:tc>
        <w:tc>
          <w:tcPr>
            <w:tcW w:w="6379" w:type="dxa"/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叠加原理、戴维宁和诺顿定理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4</w:t>
            </w:r>
          </w:p>
        </w:tc>
        <w:tc>
          <w:tcPr>
            <w:tcW w:w="6379" w:type="dxa"/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一阶电路的时域分析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5</w:t>
            </w:r>
          </w:p>
        </w:tc>
        <w:tc>
          <w:tcPr>
            <w:tcW w:w="6379" w:type="dxa"/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正弦稳态电路的分析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75" w:type="dxa"/>
            <w:vMerge w:val="continue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6</w:t>
            </w:r>
          </w:p>
        </w:tc>
        <w:tc>
          <w:tcPr>
            <w:tcW w:w="6379" w:type="dxa"/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含耦合电感电路的基本概念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7</w:t>
            </w:r>
          </w:p>
        </w:tc>
        <w:tc>
          <w:tcPr>
            <w:tcW w:w="6379" w:type="dxa"/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三相电路的基本概念和计算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8</w:t>
            </w:r>
          </w:p>
        </w:tc>
        <w:tc>
          <w:tcPr>
            <w:tcW w:w="6379" w:type="dxa"/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交/直流基本电参数的测量方法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9</w:t>
            </w:r>
          </w:p>
        </w:tc>
        <w:tc>
          <w:tcPr>
            <w:tcW w:w="6379" w:type="dxa"/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变压器的结构、原理及特性试验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10</w:t>
            </w:r>
          </w:p>
        </w:tc>
        <w:tc>
          <w:tcPr>
            <w:tcW w:w="6379" w:type="dxa"/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同步电机的结构、原理及运行特性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6379" w:type="dxa"/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异步电机的结构、原理及运行特性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restart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电力系统分析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379" w:type="dxa"/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电力系统的基本概念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575" w:type="dxa"/>
            <w:vMerge w:val="continue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6379" w:type="dxa"/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电力系统各元件特性及数学模型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6379" w:type="dxa"/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简单电力系统潮流分析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6379" w:type="dxa"/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电力系统有功功率和频率调整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6379" w:type="dxa"/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电力系统无功功率和电压调整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6379" w:type="dxa"/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电力系统故障的基本概念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6379" w:type="dxa"/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电力系统简单故障分析与计算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6379" w:type="dxa"/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电力系统稳定的基本概念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restart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电力系统继电保护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6379" w:type="dxa"/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电力系统继电保护的基本概念和要求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379" w:type="dxa"/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阶段式电流保护配合原理和构成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379" w:type="dxa"/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距离保护的工作原理和动作特性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6379" w:type="dxa"/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输电线路纵联电流差动保护原理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6379" w:type="dxa"/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输电线路自动重合闸的作用和要求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6379" w:type="dxa"/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变压器、母线的主要故障类型和保护配置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restart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电气设备及主系统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6379" w:type="dxa"/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发电厂和变电站的基本类型和特点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6379" w:type="dxa"/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高压电气设备的类型和工作原理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6379" w:type="dxa"/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电气主接线的形式、特点及倒闸操作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</w:trPr>
        <w:tc>
          <w:tcPr>
            <w:tcW w:w="1575" w:type="dxa"/>
            <w:vMerge w:val="continue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6379" w:type="dxa"/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在电气设备上工作保证安全的组织措施和技术措施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6379" w:type="dxa"/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导体和电气设备的选择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3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37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配电装置的类型、特点及应用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3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379" w:type="dxa"/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电力变压器的运行分析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restart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高电压技术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6379" w:type="dxa"/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电介质的电气特性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6379" w:type="dxa"/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输变电设备外绝缘及其放电特性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6379" w:type="dxa"/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绝缘电阻、泄漏电流和介质损失角正切值测量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6379" w:type="dxa"/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雷电过电压与防雷设施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37</w:t>
            </w:r>
          </w:p>
        </w:tc>
        <w:tc>
          <w:tcPr>
            <w:tcW w:w="6379" w:type="dxa"/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发电厂、变电站和输电线路的防雷保护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38</w:t>
            </w:r>
          </w:p>
        </w:tc>
        <w:tc>
          <w:tcPr>
            <w:tcW w:w="6379" w:type="dxa"/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电力系统内部过电压及其限制措施</w:t>
            </w:r>
          </w:p>
        </w:tc>
      </w:tr>
    </w:tbl>
    <w:p>
      <w:pPr>
        <w:widowControl/>
        <w:spacing w:line="520" w:lineRule="exact"/>
        <w:jc w:val="left"/>
        <w:rPr>
          <w:rFonts w:ascii="方正仿宋_GBK" w:hAnsi="宋体" w:eastAsia="方正仿宋_GBK"/>
          <w:b/>
          <w:sz w:val="32"/>
          <w:szCs w:val="32"/>
        </w:rPr>
      </w:pPr>
    </w:p>
    <w:p>
      <w:pPr>
        <w:rPr>
          <w:rFonts w:hint="eastAsia"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br w:type="page"/>
      </w:r>
    </w:p>
    <w:p>
      <w:pPr>
        <w:spacing w:line="520" w:lineRule="exact"/>
        <w:jc w:val="left"/>
        <w:rPr>
          <w:rFonts w:hint="default" w:ascii="Times New Roman" w:hAnsi="Times New Roman" w:eastAsia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附件3-2</w:t>
      </w:r>
    </w:p>
    <w:p>
      <w:pPr>
        <w:spacing w:line="520" w:lineRule="exact"/>
        <w:jc w:val="center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电子信息类专业招聘考试大纲</w:t>
      </w:r>
    </w:p>
    <w:p>
      <w:pPr>
        <w:spacing w:line="520" w:lineRule="exact"/>
        <w:jc w:val="center"/>
        <w:rPr>
          <w:rFonts w:ascii="Times New Roman" w:hAnsi="Times New Roman" w:eastAsia="黑体"/>
          <w:sz w:val="32"/>
          <w:szCs w:val="32"/>
        </w:rPr>
      </w:pPr>
    </w:p>
    <w:p>
      <w:pPr>
        <w:spacing w:line="520" w:lineRule="exact"/>
        <w:jc w:val="left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w:t>一、公共与行业知识（2</w:t>
      </w:r>
      <w:r>
        <w:rPr>
          <w:rFonts w:hint="eastAsia" w:ascii="黑体" w:hAnsi="黑体" w:eastAsia="黑体"/>
          <w:sz w:val="28"/>
          <w:szCs w:val="28"/>
        </w:rPr>
        <w:t>0</w:t>
      </w:r>
      <w:r>
        <w:rPr>
          <w:rFonts w:ascii="黑体" w:hAnsi="黑体" w:eastAsia="黑体"/>
          <w:sz w:val="28"/>
          <w:szCs w:val="28"/>
        </w:rPr>
        <w:t>%）</w:t>
      </w:r>
    </w:p>
    <w:tbl>
      <w:tblPr>
        <w:tblStyle w:val="8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850"/>
        <w:gridCol w:w="6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560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类别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6379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主要知识结构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560" w:type="dxa"/>
            <w:vMerge w:val="restart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一般能力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6379" w:type="dxa"/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言语理解：对语言文字的综合分析能力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560" w:type="dxa"/>
            <w:vMerge w:val="continue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6379" w:type="dxa"/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数理思维：快速理解和解决算数问题的能力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560" w:type="dxa"/>
            <w:vMerge w:val="continue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6379" w:type="dxa"/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判断推理：根据一定的先知条件，通过自己拥有的知识、思维进行判定、推断，对事物得出自己的结论的能力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560" w:type="dxa"/>
            <w:vMerge w:val="continue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6379" w:type="dxa"/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资料分析：主要包括文字类资料、表格类资料、图形类资料和综合类资料四种基本形式，综合考查应试者的阅读、理解、分析、计算等方面的能力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560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形势与政策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6379" w:type="dxa"/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中国共产党和中国政府现阶段的重大方针策，2022年1月至今的国际、国内重大时事</w:t>
            </w:r>
          </w:p>
        </w:tc>
      </w:tr>
    </w:tbl>
    <w:p>
      <w:pPr>
        <w:spacing w:line="520" w:lineRule="exact"/>
        <w:jc w:val="left"/>
        <w:rPr>
          <w:rFonts w:hint="eastAsia" w:ascii="黑体" w:hAnsi="黑体" w:eastAsia="黑体"/>
          <w:sz w:val="28"/>
          <w:szCs w:val="28"/>
        </w:rPr>
      </w:pPr>
    </w:p>
    <w:p>
      <w:pPr>
        <w:spacing w:line="520" w:lineRule="exact"/>
        <w:jc w:val="left"/>
        <w:rPr>
          <w:rFonts w:hint="eastAsia" w:ascii="黑体" w:hAnsi="黑体" w:eastAsia="黑体"/>
          <w:sz w:val="28"/>
          <w:szCs w:val="28"/>
        </w:rPr>
      </w:pPr>
    </w:p>
    <w:p>
      <w:pPr>
        <w:spacing w:line="520" w:lineRule="exact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二</w:t>
      </w:r>
      <w:r>
        <w:rPr>
          <w:rFonts w:ascii="黑体" w:hAnsi="黑体" w:eastAsia="黑体"/>
          <w:sz w:val="28"/>
          <w:szCs w:val="28"/>
        </w:rPr>
        <w:t>、</w:t>
      </w:r>
      <w:r>
        <w:rPr>
          <w:rFonts w:hint="eastAsia" w:ascii="黑体" w:hAnsi="黑体" w:eastAsia="黑体"/>
          <w:sz w:val="28"/>
          <w:szCs w:val="28"/>
        </w:rPr>
        <w:t>专业</w:t>
      </w:r>
      <w:r>
        <w:rPr>
          <w:rFonts w:ascii="黑体" w:hAnsi="黑体" w:eastAsia="黑体"/>
          <w:sz w:val="28"/>
          <w:szCs w:val="28"/>
        </w:rPr>
        <w:t>知识（</w:t>
      </w:r>
      <w:r>
        <w:rPr>
          <w:rFonts w:hint="eastAsia" w:ascii="黑体" w:hAnsi="黑体" w:eastAsia="黑体"/>
          <w:sz w:val="28"/>
          <w:szCs w:val="28"/>
        </w:rPr>
        <w:t>80</w:t>
      </w:r>
      <w:r>
        <w:rPr>
          <w:rFonts w:ascii="黑体" w:hAnsi="黑体" w:eastAsia="黑体"/>
          <w:sz w:val="28"/>
          <w:szCs w:val="28"/>
        </w:rPr>
        <w:t>%）</w:t>
      </w:r>
    </w:p>
    <w:p>
      <w:pPr>
        <w:spacing w:line="520" w:lineRule="exact"/>
        <w:rPr>
          <w:rFonts w:ascii="楷体" w:hAnsi="楷体" w:eastAsia="楷体" w:cs="楷体"/>
          <w:b/>
          <w:sz w:val="28"/>
          <w:szCs w:val="28"/>
        </w:rPr>
      </w:pPr>
      <w:r>
        <w:rPr>
          <w:rFonts w:hint="eastAsia" w:ascii="楷体" w:hAnsi="楷体" w:eastAsia="楷体" w:cs="楷体"/>
          <w:b/>
          <w:sz w:val="28"/>
          <w:szCs w:val="28"/>
        </w:rPr>
        <w:t>（一）计算机专业知识</w:t>
      </w:r>
      <w:r>
        <w:rPr>
          <w:rFonts w:hint="eastAsia" w:ascii="楷体" w:hAnsi="楷体" w:eastAsia="楷体" w:cs="楷体"/>
          <w:b/>
          <w:kern w:val="0"/>
          <w:sz w:val="28"/>
          <w:szCs w:val="28"/>
        </w:rPr>
        <w:t>（55%）</w:t>
      </w:r>
    </w:p>
    <w:tbl>
      <w:tblPr>
        <w:tblStyle w:val="8"/>
        <w:tblW w:w="8784" w:type="dxa"/>
        <w:tblInd w:w="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5"/>
        <w:gridCol w:w="850"/>
        <w:gridCol w:w="6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555" w:type="dxa"/>
            <w:noWrap w:val="0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主要课程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6379" w:type="dxa"/>
            <w:noWrap w:val="0"/>
            <w:vAlign w:val="bottom"/>
          </w:tcPr>
          <w:p>
            <w:pPr>
              <w:widowControl/>
              <w:spacing w:line="520" w:lineRule="exact"/>
              <w:ind w:left="2500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主要知识点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restart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数据结构</w:t>
            </w:r>
          </w:p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与算法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</w:t>
            </w:r>
          </w:p>
        </w:tc>
        <w:tc>
          <w:tcPr>
            <w:tcW w:w="6379" w:type="dxa"/>
            <w:noWrap w:val="0"/>
            <w:vAlign w:val="center"/>
          </w:tcPr>
          <w:p>
            <w:pPr>
              <w:spacing w:line="520" w:lineRule="exact"/>
              <w:ind w:left="100"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线性表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noWrap w:val="0"/>
            <w:vAlign w:val="center"/>
          </w:tcPr>
          <w:p>
            <w:pPr>
              <w:spacing w:line="52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</w:t>
            </w:r>
          </w:p>
        </w:tc>
        <w:tc>
          <w:tcPr>
            <w:tcW w:w="6379" w:type="dxa"/>
            <w:noWrap w:val="0"/>
            <w:vAlign w:val="center"/>
          </w:tcPr>
          <w:p>
            <w:pPr>
              <w:spacing w:line="520" w:lineRule="exact"/>
              <w:ind w:left="100"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栈和队列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noWrap w:val="0"/>
            <w:vAlign w:val="center"/>
          </w:tcPr>
          <w:p>
            <w:pPr>
              <w:spacing w:line="52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3</w:t>
            </w:r>
          </w:p>
        </w:tc>
        <w:tc>
          <w:tcPr>
            <w:tcW w:w="6379" w:type="dxa"/>
            <w:noWrap w:val="0"/>
            <w:vAlign w:val="center"/>
          </w:tcPr>
          <w:p>
            <w:pPr>
              <w:spacing w:line="520" w:lineRule="exact"/>
              <w:ind w:left="100"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noWrap w:val="0"/>
            <w:vAlign w:val="center"/>
          </w:tcPr>
          <w:p>
            <w:pPr>
              <w:spacing w:line="52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4</w:t>
            </w:r>
          </w:p>
        </w:tc>
        <w:tc>
          <w:tcPr>
            <w:tcW w:w="6379" w:type="dxa"/>
            <w:noWrap w:val="0"/>
            <w:vAlign w:val="center"/>
          </w:tcPr>
          <w:p>
            <w:pPr>
              <w:spacing w:line="520" w:lineRule="exact"/>
              <w:ind w:left="100"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数组和广义表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noWrap w:val="0"/>
            <w:vAlign w:val="center"/>
          </w:tcPr>
          <w:p>
            <w:pPr>
              <w:spacing w:line="52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5</w:t>
            </w:r>
          </w:p>
        </w:tc>
        <w:tc>
          <w:tcPr>
            <w:tcW w:w="6379" w:type="dxa"/>
            <w:noWrap w:val="0"/>
            <w:vAlign w:val="center"/>
          </w:tcPr>
          <w:p>
            <w:pPr>
              <w:spacing w:line="520" w:lineRule="exact"/>
              <w:ind w:firstLine="120" w:firstLineChars="50"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树和二叉树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noWrap w:val="0"/>
            <w:vAlign w:val="bottom"/>
          </w:tcPr>
          <w:p>
            <w:pPr>
              <w:spacing w:line="52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6</w:t>
            </w:r>
          </w:p>
        </w:tc>
        <w:tc>
          <w:tcPr>
            <w:tcW w:w="6379" w:type="dxa"/>
            <w:noWrap w:val="0"/>
            <w:vAlign w:val="center"/>
          </w:tcPr>
          <w:p>
            <w:pPr>
              <w:spacing w:line="520" w:lineRule="exact"/>
              <w:ind w:firstLine="120" w:firstLineChars="5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noWrap w:val="0"/>
            <w:vAlign w:val="bottom"/>
          </w:tcPr>
          <w:p>
            <w:pPr>
              <w:spacing w:line="52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7</w:t>
            </w:r>
          </w:p>
        </w:tc>
        <w:tc>
          <w:tcPr>
            <w:tcW w:w="6379" w:type="dxa"/>
            <w:noWrap w:val="0"/>
            <w:vAlign w:val="center"/>
          </w:tcPr>
          <w:p>
            <w:pPr>
              <w:spacing w:line="520" w:lineRule="exact"/>
              <w:ind w:left="10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动态存储管理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noWrap w:val="0"/>
            <w:vAlign w:val="bottom"/>
          </w:tcPr>
          <w:p>
            <w:pPr>
              <w:spacing w:line="52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8</w:t>
            </w:r>
          </w:p>
        </w:tc>
        <w:tc>
          <w:tcPr>
            <w:tcW w:w="6379" w:type="dxa"/>
            <w:noWrap w:val="0"/>
            <w:vAlign w:val="center"/>
          </w:tcPr>
          <w:p>
            <w:pPr>
              <w:spacing w:line="520" w:lineRule="exact"/>
              <w:ind w:left="10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查找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noWrap w:val="0"/>
            <w:vAlign w:val="bottom"/>
          </w:tcPr>
          <w:p>
            <w:pPr>
              <w:spacing w:line="52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9</w:t>
            </w:r>
          </w:p>
        </w:tc>
        <w:tc>
          <w:tcPr>
            <w:tcW w:w="6379" w:type="dxa"/>
            <w:noWrap w:val="0"/>
            <w:vAlign w:val="center"/>
          </w:tcPr>
          <w:p>
            <w:pPr>
              <w:spacing w:line="520" w:lineRule="exact"/>
              <w:ind w:left="10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内部排序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noWrap w:val="0"/>
            <w:vAlign w:val="bottom"/>
          </w:tcPr>
          <w:p>
            <w:pPr>
              <w:spacing w:line="52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10</w:t>
            </w:r>
          </w:p>
        </w:tc>
        <w:tc>
          <w:tcPr>
            <w:tcW w:w="6379" w:type="dxa"/>
            <w:noWrap w:val="0"/>
            <w:vAlign w:val="center"/>
          </w:tcPr>
          <w:p>
            <w:pPr>
              <w:spacing w:line="520" w:lineRule="exact"/>
              <w:ind w:left="10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外部排序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noWrap w:val="0"/>
            <w:vAlign w:val="bottom"/>
          </w:tcPr>
          <w:p>
            <w:pPr>
              <w:spacing w:line="52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11</w:t>
            </w:r>
          </w:p>
        </w:tc>
        <w:tc>
          <w:tcPr>
            <w:tcW w:w="6379" w:type="dxa"/>
            <w:noWrap w:val="0"/>
            <w:vAlign w:val="center"/>
          </w:tcPr>
          <w:p>
            <w:pPr>
              <w:spacing w:line="520" w:lineRule="exact"/>
              <w:ind w:left="10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restar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数据库系统</w:t>
            </w:r>
          </w:p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none"/>
              </w:rPr>
              <w:t>12</w:t>
            </w:r>
          </w:p>
        </w:tc>
        <w:tc>
          <w:tcPr>
            <w:tcW w:w="6379" w:type="dxa"/>
            <w:noWrap w:val="0"/>
            <w:vAlign w:val="center"/>
          </w:tcPr>
          <w:p>
            <w:pPr>
              <w:spacing w:line="520" w:lineRule="exact"/>
              <w:ind w:left="100"/>
              <w:jc w:val="left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数据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库基本概念（数据模型、体系结构）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13</w:t>
            </w:r>
          </w:p>
        </w:tc>
        <w:tc>
          <w:tcPr>
            <w:tcW w:w="6379" w:type="dxa"/>
            <w:noWrap w:val="0"/>
            <w:vAlign w:val="center"/>
          </w:tcPr>
          <w:p>
            <w:pPr>
              <w:spacing w:line="520" w:lineRule="exact"/>
              <w:ind w:left="10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关系数据库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14</w:t>
            </w:r>
          </w:p>
        </w:tc>
        <w:tc>
          <w:tcPr>
            <w:tcW w:w="6379" w:type="dxa"/>
            <w:noWrap w:val="0"/>
            <w:vAlign w:val="center"/>
          </w:tcPr>
          <w:p>
            <w:pPr>
              <w:spacing w:line="520" w:lineRule="exact"/>
              <w:ind w:left="10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关系数据库标准语言 SQL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15</w:t>
            </w:r>
          </w:p>
        </w:tc>
        <w:tc>
          <w:tcPr>
            <w:tcW w:w="6379" w:type="dxa"/>
            <w:noWrap w:val="0"/>
            <w:vAlign w:val="center"/>
          </w:tcPr>
          <w:p>
            <w:pPr>
              <w:spacing w:line="520" w:lineRule="exact"/>
              <w:ind w:left="10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数据库安全性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noWrap w:val="0"/>
            <w:vAlign w:val="center"/>
          </w:tcPr>
          <w:p>
            <w:pPr>
              <w:spacing w:line="52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16</w:t>
            </w:r>
          </w:p>
        </w:tc>
        <w:tc>
          <w:tcPr>
            <w:tcW w:w="6379" w:type="dxa"/>
            <w:noWrap w:val="0"/>
            <w:vAlign w:val="center"/>
          </w:tcPr>
          <w:p>
            <w:pPr>
              <w:spacing w:line="520" w:lineRule="exact"/>
              <w:ind w:left="10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数据库完整性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noWrap w:val="0"/>
            <w:vAlign w:val="bottom"/>
          </w:tcPr>
          <w:p>
            <w:pPr>
              <w:spacing w:line="52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17</w:t>
            </w:r>
          </w:p>
        </w:tc>
        <w:tc>
          <w:tcPr>
            <w:tcW w:w="6379" w:type="dxa"/>
            <w:noWrap w:val="0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关系数据理论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noWrap w:val="0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18</w:t>
            </w:r>
          </w:p>
        </w:tc>
        <w:tc>
          <w:tcPr>
            <w:tcW w:w="6379" w:type="dxa"/>
            <w:noWrap w:val="0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数据库设计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noWrap w:val="0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19</w:t>
            </w:r>
          </w:p>
        </w:tc>
        <w:tc>
          <w:tcPr>
            <w:tcW w:w="6379" w:type="dxa"/>
            <w:noWrap w:val="0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关系查询处理和查询优化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noWrap w:val="0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20</w:t>
            </w:r>
          </w:p>
        </w:tc>
        <w:tc>
          <w:tcPr>
            <w:tcW w:w="6379" w:type="dxa"/>
            <w:noWrap w:val="0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数据库恢复技术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noWrap w:val="0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21</w:t>
            </w:r>
          </w:p>
        </w:tc>
        <w:tc>
          <w:tcPr>
            <w:tcW w:w="6379" w:type="dxa"/>
            <w:noWrap w:val="0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并发控制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noWrap w:val="0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22</w:t>
            </w:r>
          </w:p>
        </w:tc>
        <w:tc>
          <w:tcPr>
            <w:tcW w:w="6379" w:type="dxa"/>
            <w:noWrap w:val="0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分布式数据库系统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noWrap w:val="0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23</w:t>
            </w:r>
          </w:p>
        </w:tc>
        <w:tc>
          <w:tcPr>
            <w:tcW w:w="6379" w:type="dxa"/>
            <w:noWrap w:val="0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对象关系数据库系统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noWrap w:val="0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24</w:t>
            </w:r>
          </w:p>
        </w:tc>
        <w:tc>
          <w:tcPr>
            <w:tcW w:w="6379" w:type="dxa"/>
            <w:noWrap w:val="0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XML 数据库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restart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操作系统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6379" w:type="dxa"/>
            <w:noWrap w:val="0"/>
            <w:vAlign w:val="center"/>
          </w:tcPr>
          <w:p>
            <w:pPr>
              <w:spacing w:line="520" w:lineRule="exact"/>
              <w:ind w:left="100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none"/>
                <w:lang w:val="en-US" w:eastAsia="zh-CN"/>
              </w:rPr>
              <w:t>基本概念（操作系统的发展过程、基本特性、主要功能、OS设计等）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noWrap w:val="0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6379" w:type="dxa"/>
            <w:noWrap w:val="0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进程管理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noWrap w:val="0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6379" w:type="dxa"/>
            <w:noWrap w:val="0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处理机调度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noWrap w:val="0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6379" w:type="dxa"/>
            <w:noWrap w:val="0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存储器管理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noWrap w:val="0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6379" w:type="dxa"/>
            <w:noWrap w:val="0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设备管理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noWrap w:val="0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6379" w:type="dxa"/>
            <w:noWrap w:val="0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文件管理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noWrap w:val="0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6379" w:type="dxa"/>
            <w:noWrap w:val="0"/>
            <w:vAlign w:val="center"/>
          </w:tcPr>
          <w:p>
            <w:pPr>
              <w:spacing w:line="520" w:lineRule="exact"/>
              <w:ind w:left="100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操作系统安全与保护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restart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计算机组成</w:t>
            </w:r>
          </w:p>
          <w:p>
            <w:pPr>
              <w:widowControl/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与体系结构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6379" w:type="dxa"/>
            <w:noWrap w:val="0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基本概念（计算机组成、性能指标、工作过程等）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noWrap w:val="0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6379" w:type="dxa"/>
            <w:noWrap w:val="0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数据的机器层次表示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noWrap w:val="0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6379" w:type="dxa"/>
            <w:noWrap w:val="0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指令系统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noWrap w:val="0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6379" w:type="dxa"/>
            <w:noWrap w:val="0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数值的机器运算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noWrap w:val="0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6379" w:type="dxa"/>
            <w:noWrap w:val="0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存储系统和结构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noWrap w:val="0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37</w:t>
            </w:r>
          </w:p>
        </w:tc>
        <w:tc>
          <w:tcPr>
            <w:tcW w:w="6379" w:type="dxa"/>
            <w:noWrap w:val="0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中央处理器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noWrap w:val="0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38</w:t>
            </w:r>
          </w:p>
        </w:tc>
        <w:tc>
          <w:tcPr>
            <w:tcW w:w="6379" w:type="dxa"/>
            <w:noWrap w:val="0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总线系统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noWrap w:val="0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39</w:t>
            </w:r>
          </w:p>
        </w:tc>
        <w:tc>
          <w:tcPr>
            <w:tcW w:w="6379" w:type="dxa"/>
            <w:noWrap w:val="0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外部设备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noWrap w:val="0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6379" w:type="dxa"/>
            <w:noWrap w:val="0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输入输出系统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555" w:type="dxa"/>
            <w:vMerge w:val="restart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信息新技术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41</w:t>
            </w:r>
          </w:p>
        </w:tc>
        <w:tc>
          <w:tcPr>
            <w:tcW w:w="6379" w:type="dxa"/>
            <w:noWrap w:val="0"/>
            <w:vAlign w:val="center"/>
          </w:tcPr>
          <w:p>
            <w:pPr>
              <w:spacing w:line="520" w:lineRule="exact"/>
              <w:ind w:left="100" w:leftChars="0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人工智能基础（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机器学习、神经网络、深度学习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等基本概念）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42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 w:leftChars="0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大数据基础（数据预处理、数据分析、数据模型、数据挖掘、可视化等基本概念）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43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 w:leftChars="0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物联网基础（物联网基本概念、传感技术、常见协议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等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）</w:t>
            </w:r>
          </w:p>
        </w:tc>
      </w:tr>
    </w:tbl>
    <w:p>
      <w:pPr>
        <w:spacing w:line="520" w:lineRule="exact"/>
        <w:rPr>
          <w:b/>
          <w:sz w:val="28"/>
          <w:szCs w:val="28"/>
        </w:rPr>
      </w:pPr>
    </w:p>
    <w:p>
      <w:pPr>
        <w:spacing w:line="520" w:lineRule="exact"/>
        <w:rPr>
          <w:rFonts w:ascii="楷体" w:hAnsi="楷体" w:eastAsia="楷体" w:cs="楷体"/>
          <w:b/>
          <w:sz w:val="28"/>
          <w:szCs w:val="28"/>
        </w:rPr>
      </w:pPr>
      <w:r>
        <w:rPr>
          <w:rFonts w:hint="eastAsia" w:ascii="楷体" w:hAnsi="楷体" w:eastAsia="楷体" w:cs="楷体"/>
          <w:b/>
          <w:sz w:val="28"/>
          <w:szCs w:val="28"/>
        </w:rPr>
        <w:t>（二）通信专业知识（25%）</w:t>
      </w:r>
    </w:p>
    <w:tbl>
      <w:tblPr>
        <w:tblStyle w:val="8"/>
        <w:tblW w:w="8804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850"/>
        <w:gridCol w:w="6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575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主要课程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6379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主要知识点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restart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通信原理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、信号与系统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</w:t>
            </w:r>
          </w:p>
        </w:tc>
        <w:tc>
          <w:tcPr>
            <w:tcW w:w="6379" w:type="dxa"/>
            <w:noWrap w:val="0"/>
            <w:vAlign w:val="center"/>
          </w:tcPr>
          <w:p>
            <w:pPr>
              <w:spacing w:line="520" w:lineRule="exact"/>
              <w:ind w:left="100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信号与系统的基本概念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</w:t>
            </w:r>
          </w:p>
        </w:tc>
        <w:tc>
          <w:tcPr>
            <w:tcW w:w="6379" w:type="dxa"/>
            <w:noWrap w:val="0"/>
            <w:vAlign w:val="center"/>
          </w:tcPr>
          <w:p>
            <w:pPr>
              <w:spacing w:line="520" w:lineRule="exact"/>
              <w:ind w:left="100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信号与系统的时域与频域特性分析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3</w:t>
            </w:r>
          </w:p>
        </w:tc>
        <w:tc>
          <w:tcPr>
            <w:tcW w:w="6379" w:type="dxa"/>
            <w:noWrap w:val="0"/>
            <w:vAlign w:val="center"/>
          </w:tcPr>
          <w:p>
            <w:pPr>
              <w:spacing w:line="520" w:lineRule="exact"/>
              <w:ind w:left="100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通信与通信系统的基本概念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4</w:t>
            </w:r>
          </w:p>
        </w:tc>
        <w:tc>
          <w:tcPr>
            <w:tcW w:w="6379" w:type="dxa"/>
            <w:noWrap w:val="0"/>
            <w:vAlign w:val="center"/>
          </w:tcPr>
          <w:p>
            <w:pPr>
              <w:spacing w:line="520" w:lineRule="exact"/>
              <w:ind w:left="100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信道特性及复用、均衡、分集技术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5</w:t>
            </w:r>
          </w:p>
        </w:tc>
        <w:tc>
          <w:tcPr>
            <w:tcW w:w="6379" w:type="dxa"/>
            <w:noWrap w:val="0"/>
            <w:vAlign w:val="center"/>
          </w:tcPr>
          <w:p>
            <w:pPr>
              <w:spacing w:line="520" w:lineRule="exact"/>
              <w:ind w:left="100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数字调制和模拟调制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6379" w:type="dxa"/>
            <w:noWrap w:val="0"/>
            <w:vAlign w:val="center"/>
          </w:tcPr>
          <w:p>
            <w:pPr>
              <w:spacing w:line="520" w:lineRule="exact"/>
              <w:ind w:left="100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数字信号的最佳接收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6379" w:type="dxa"/>
            <w:noWrap w:val="0"/>
            <w:vAlign w:val="center"/>
          </w:tcPr>
          <w:p>
            <w:pPr>
              <w:spacing w:line="520" w:lineRule="exact"/>
              <w:ind w:left="100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模拟信号的数字化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6379" w:type="dxa"/>
            <w:noWrap w:val="0"/>
            <w:vAlign w:val="center"/>
          </w:tcPr>
          <w:p>
            <w:pPr>
              <w:spacing w:line="520" w:lineRule="exact"/>
              <w:ind w:left="100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差错控制编码技术(概念、类型)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6379" w:type="dxa"/>
            <w:noWrap w:val="0"/>
            <w:vAlign w:val="center"/>
          </w:tcPr>
          <w:p>
            <w:pPr>
              <w:spacing w:line="520" w:lineRule="exact"/>
              <w:ind w:left="100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通信系统同步技术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restart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光纤通信</w:t>
            </w:r>
          </w:p>
          <w:p>
            <w:pPr>
              <w:widowControl/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技术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6379" w:type="dxa"/>
            <w:noWrap w:val="0"/>
            <w:vAlign w:val="center"/>
          </w:tcPr>
          <w:p>
            <w:pPr>
              <w:spacing w:line="520" w:lineRule="exact"/>
              <w:ind w:left="100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光纤通信技术基础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6379" w:type="dxa"/>
            <w:noWrap w:val="0"/>
            <w:vAlign w:val="center"/>
          </w:tcPr>
          <w:p>
            <w:pPr>
              <w:spacing w:line="520" w:lineRule="exact"/>
              <w:ind w:left="100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光纤传输技术基础(SDH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技术基础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6379" w:type="dxa"/>
            <w:noWrap w:val="0"/>
            <w:vAlign w:val="center"/>
          </w:tcPr>
          <w:p>
            <w:pPr>
              <w:spacing w:line="520" w:lineRule="exact"/>
              <w:ind w:left="100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常见光缆光纤结构、特性及敷设方法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6379" w:type="dxa"/>
            <w:noWrap w:val="0"/>
            <w:vAlign w:val="center"/>
          </w:tcPr>
          <w:p>
            <w:pPr>
              <w:spacing w:line="520" w:lineRule="exact"/>
              <w:ind w:left="100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光放大器的基本应用和分类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6379" w:type="dxa"/>
            <w:noWrap w:val="0"/>
            <w:vAlign w:val="center"/>
          </w:tcPr>
          <w:p>
            <w:pPr>
              <w:spacing w:line="520" w:lineRule="exact"/>
              <w:ind w:left="100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光纤接入技术（PON技术基础）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6379" w:type="dxa"/>
            <w:noWrap w:val="0"/>
            <w:vAlign w:val="center"/>
          </w:tcPr>
          <w:p>
            <w:pPr>
              <w:spacing w:line="520" w:lineRule="exact"/>
              <w:ind w:left="100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光通道性能测量与监控仪器仪表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restart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无线通信</w:t>
            </w:r>
          </w:p>
          <w:p>
            <w:pPr>
              <w:widowControl/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技术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6379" w:type="dxa"/>
            <w:noWrap w:val="0"/>
            <w:vAlign w:val="center"/>
          </w:tcPr>
          <w:p>
            <w:pPr>
              <w:spacing w:line="520" w:lineRule="exact"/>
              <w:ind w:left="100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电波传播理论基础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6379" w:type="dxa"/>
            <w:noWrap w:val="0"/>
            <w:vAlign w:val="center"/>
          </w:tcPr>
          <w:p>
            <w:pPr>
              <w:spacing w:line="520" w:lineRule="exact"/>
              <w:ind w:left="100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无线多址技术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6379" w:type="dxa"/>
            <w:noWrap w:val="0"/>
            <w:vAlign w:val="center"/>
          </w:tcPr>
          <w:p>
            <w:pPr>
              <w:spacing w:line="520" w:lineRule="exact"/>
              <w:ind w:left="100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均衡分集和信道编码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restart"/>
            <w:noWrap w:val="0"/>
            <w:vAlign w:val="center"/>
          </w:tcPr>
          <w:p>
            <w:pPr>
              <w:spacing w:line="520" w:lineRule="exact"/>
              <w:ind w:left="100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none"/>
                <w:lang w:val="en-US" w:eastAsia="zh-CN"/>
              </w:rPr>
              <w:t>数据网技术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none"/>
                <w:lang w:val="en-US" w:eastAsia="zh-CN"/>
              </w:rPr>
              <w:t>19</w:t>
            </w:r>
          </w:p>
        </w:tc>
        <w:tc>
          <w:tcPr>
            <w:tcW w:w="6379" w:type="dxa"/>
            <w:noWrap w:val="0"/>
            <w:vAlign w:val="center"/>
          </w:tcPr>
          <w:p>
            <w:pPr>
              <w:spacing w:line="520" w:lineRule="exact"/>
              <w:ind w:left="100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none"/>
              </w:rPr>
              <w:t>基本概念（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none"/>
                <w:lang w:val="en-US" w:eastAsia="zh-CN"/>
              </w:rPr>
              <w:t>计算机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none"/>
              </w:rPr>
              <w:t>网络定义、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none"/>
                <w:lang w:eastAsia="zh-CN"/>
              </w:rPr>
              <w:t>分类、组成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none"/>
              </w:rPr>
              <w:t>、体系结构等）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noWrap w:val="0"/>
            <w:vAlign w:val="center"/>
          </w:tcPr>
          <w:p>
            <w:pPr>
              <w:spacing w:line="520" w:lineRule="exact"/>
              <w:ind w:left="100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none"/>
                <w:lang w:val="en-US" w:eastAsia="zh-CN"/>
              </w:rPr>
              <w:t>20</w:t>
            </w:r>
          </w:p>
        </w:tc>
        <w:tc>
          <w:tcPr>
            <w:tcW w:w="6379" w:type="dxa"/>
            <w:noWrap w:val="0"/>
            <w:vAlign w:val="center"/>
          </w:tcPr>
          <w:p>
            <w:pPr>
              <w:spacing w:line="520" w:lineRule="exact"/>
              <w:ind w:left="100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none"/>
                <w:lang w:val="en-US" w:eastAsia="zh-CN"/>
              </w:rPr>
              <w:t>网络协议（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none"/>
              </w:rPr>
              <w:t>物理层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no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none"/>
              </w:rPr>
              <w:t>数据链路层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no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none"/>
                <w:lang w:val="en-US" w:eastAsia="zh-CN"/>
              </w:rPr>
              <w:t>网络层、传输层、会话层、表示层、应用层）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noWrap w:val="0"/>
            <w:vAlign w:val="center"/>
          </w:tcPr>
          <w:p>
            <w:pPr>
              <w:spacing w:line="520" w:lineRule="exact"/>
              <w:ind w:left="100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none"/>
                <w:lang w:val="en-US" w:eastAsia="zh-CN"/>
              </w:rPr>
              <w:t>21</w:t>
            </w:r>
          </w:p>
        </w:tc>
        <w:tc>
          <w:tcPr>
            <w:tcW w:w="6379" w:type="dxa"/>
            <w:noWrap w:val="0"/>
            <w:vAlign w:val="center"/>
          </w:tcPr>
          <w:p>
            <w:pPr>
              <w:spacing w:line="520" w:lineRule="exact"/>
              <w:ind w:left="100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none"/>
                <w:lang w:val="en-US" w:eastAsia="zh-CN"/>
              </w:rPr>
              <w:t>网络设备/接口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noWrap w:val="0"/>
            <w:vAlign w:val="center"/>
          </w:tcPr>
          <w:p>
            <w:pPr>
              <w:spacing w:line="520" w:lineRule="exact"/>
              <w:ind w:left="100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none"/>
                <w:lang w:val="en-US" w:eastAsia="zh-CN"/>
              </w:rPr>
              <w:t>22</w:t>
            </w:r>
          </w:p>
        </w:tc>
        <w:tc>
          <w:tcPr>
            <w:tcW w:w="6379" w:type="dxa"/>
            <w:noWrap w:val="0"/>
            <w:vAlign w:val="center"/>
          </w:tcPr>
          <w:p>
            <w:pPr>
              <w:spacing w:line="520" w:lineRule="exact"/>
              <w:ind w:left="100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none"/>
                <w:lang w:val="en-US" w:eastAsia="zh-CN"/>
              </w:rPr>
              <w:t>网络路由与地址管理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noWrap w:val="0"/>
            <w:vAlign w:val="center"/>
          </w:tcPr>
          <w:p>
            <w:pPr>
              <w:spacing w:line="520" w:lineRule="exact"/>
              <w:ind w:left="100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none"/>
                <w:lang w:val="en-US" w:eastAsia="zh-CN"/>
              </w:rPr>
              <w:t>23</w:t>
            </w:r>
          </w:p>
        </w:tc>
        <w:tc>
          <w:tcPr>
            <w:tcW w:w="6379" w:type="dxa"/>
            <w:noWrap w:val="0"/>
            <w:vAlign w:val="center"/>
          </w:tcPr>
          <w:p>
            <w:pPr>
              <w:spacing w:line="520" w:lineRule="exact"/>
              <w:ind w:left="100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none"/>
                <w:lang w:val="en-US" w:eastAsia="zh-CN"/>
              </w:rPr>
              <w:t>网络安全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noWrap w:val="0"/>
            <w:vAlign w:val="center"/>
          </w:tcPr>
          <w:p>
            <w:pPr>
              <w:spacing w:line="520" w:lineRule="exact"/>
              <w:ind w:left="100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none"/>
                <w:lang w:val="en-US" w:eastAsia="zh-CN"/>
              </w:rPr>
              <w:t>24</w:t>
            </w:r>
          </w:p>
        </w:tc>
        <w:tc>
          <w:tcPr>
            <w:tcW w:w="6379" w:type="dxa"/>
            <w:noWrap w:val="0"/>
            <w:vAlign w:val="center"/>
          </w:tcPr>
          <w:p>
            <w:pPr>
              <w:spacing w:line="520" w:lineRule="exact"/>
              <w:ind w:left="100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none"/>
                <w:lang w:val="en-US" w:eastAsia="zh-CN"/>
              </w:rPr>
              <w:t>网络组网通用配置（基于MPLS VPN技术组网）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restart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现代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交换</w:t>
            </w:r>
          </w:p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技术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6379" w:type="dxa"/>
            <w:noWrap w:val="0"/>
            <w:vAlign w:val="center"/>
          </w:tcPr>
          <w:p>
            <w:pPr>
              <w:spacing w:line="520" w:lineRule="exact"/>
              <w:ind w:left="100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交换的基本概念及基础知识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6379" w:type="dxa"/>
            <w:noWrap w:val="0"/>
            <w:vAlign w:val="center"/>
          </w:tcPr>
          <w:p>
            <w:pPr>
              <w:spacing w:line="520" w:lineRule="exact"/>
              <w:ind w:left="100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信令系统基础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6379" w:type="dxa"/>
            <w:noWrap w:val="0"/>
            <w:vAlign w:val="center"/>
          </w:tcPr>
          <w:p>
            <w:pPr>
              <w:spacing w:line="520" w:lineRule="exact"/>
              <w:ind w:left="100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交换技术原理(电路交换、分组交换、软交换)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restart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会议电视</w:t>
            </w:r>
          </w:p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技术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6379" w:type="dxa"/>
            <w:noWrap w:val="0"/>
            <w:vAlign w:val="center"/>
          </w:tcPr>
          <w:p>
            <w:pPr>
              <w:spacing w:line="520" w:lineRule="exact"/>
              <w:ind w:left="100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会议电视系统发展历程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基于 H.320、H.323、SIP 协议系统组成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视频编解码技术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音频编解码技术</w:t>
            </w:r>
          </w:p>
        </w:tc>
      </w:tr>
    </w:tbl>
    <w:p>
      <w:pPr>
        <w:rPr>
          <w:rFonts w:hint="default" w:ascii="方正仿宋_GBK" w:hAnsi="宋体" w:eastAsia="方正仿宋_GBK"/>
          <w:b/>
          <w:color w:val="auto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701" w:right="1474" w:bottom="1134" w:left="158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1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doNotShadeFormData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wODY5ZGU3NmQwMzVlMjdmNDQ5MThkODI1MmMzNGIifQ=="/>
  </w:docVars>
  <w:rsids>
    <w:rsidRoot w:val="00F034AF"/>
    <w:rsid w:val="002977E9"/>
    <w:rsid w:val="002C04C5"/>
    <w:rsid w:val="00360E6B"/>
    <w:rsid w:val="004D7540"/>
    <w:rsid w:val="005F6737"/>
    <w:rsid w:val="00602830"/>
    <w:rsid w:val="006A0BA9"/>
    <w:rsid w:val="00826492"/>
    <w:rsid w:val="00BF0994"/>
    <w:rsid w:val="00CA5955"/>
    <w:rsid w:val="00CF123B"/>
    <w:rsid w:val="00D023BE"/>
    <w:rsid w:val="00F034AF"/>
    <w:rsid w:val="02EE6027"/>
    <w:rsid w:val="04AC0E88"/>
    <w:rsid w:val="04B60983"/>
    <w:rsid w:val="05396C95"/>
    <w:rsid w:val="073637E6"/>
    <w:rsid w:val="09C127FF"/>
    <w:rsid w:val="0BF50DF1"/>
    <w:rsid w:val="0C9C58C3"/>
    <w:rsid w:val="0DE871BF"/>
    <w:rsid w:val="0DEE2A3C"/>
    <w:rsid w:val="0E6805A3"/>
    <w:rsid w:val="0FA26AB8"/>
    <w:rsid w:val="12856150"/>
    <w:rsid w:val="13BC70F6"/>
    <w:rsid w:val="146A331F"/>
    <w:rsid w:val="159C35DF"/>
    <w:rsid w:val="16DA6215"/>
    <w:rsid w:val="1B04427A"/>
    <w:rsid w:val="1C3E6AB8"/>
    <w:rsid w:val="1C547988"/>
    <w:rsid w:val="1D020112"/>
    <w:rsid w:val="1E6E7E96"/>
    <w:rsid w:val="1EB7672D"/>
    <w:rsid w:val="1EF8241C"/>
    <w:rsid w:val="21E32CAD"/>
    <w:rsid w:val="22C95E01"/>
    <w:rsid w:val="244E1A68"/>
    <w:rsid w:val="24B60D2D"/>
    <w:rsid w:val="2AC4066F"/>
    <w:rsid w:val="2AF35561"/>
    <w:rsid w:val="2B225BEB"/>
    <w:rsid w:val="2BCB6B24"/>
    <w:rsid w:val="2C5717E8"/>
    <w:rsid w:val="315D0962"/>
    <w:rsid w:val="31984459"/>
    <w:rsid w:val="3BE26765"/>
    <w:rsid w:val="3CB066D2"/>
    <w:rsid w:val="3CC51F9B"/>
    <w:rsid w:val="3E2F0A03"/>
    <w:rsid w:val="41111E8C"/>
    <w:rsid w:val="411610C1"/>
    <w:rsid w:val="415F7ED7"/>
    <w:rsid w:val="419F2A0B"/>
    <w:rsid w:val="4311477C"/>
    <w:rsid w:val="458F16B5"/>
    <w:rsid w:val="49C17363"/>
    <w:rsid w:val="4B222DB7"/>
    <w:rsid w:val="4B8E1147"/>
    <w:rsid w:val="4C1567C0"/>
    <w:rsid w:val="4C996BFC"/>
    <w:rsid w:val="50F61444"/>
    <w:rsid w:val="50F74E79"/>
    <w:rsid w:val="532A44EE"/>
    <w:rsid w:val="53EE1C2B"/>
    <w:rsid w:val="54C80572"/>
    <w:rsid w:val="55BC53D7"/>
    <w:rsid w:val="58FA4367"/>
    <w:rsid w:val="59125221"/>
    <w:rsid w:val="5BEC78F0"/>
    <w:rsid w:val="5C1A2723"/>
    <w:rsid w:val="5C4013E9"/>
    <w:rsid w:val="5D34081E"/>
    <w:rsid w:val="5E42196D"/>
    <w:rsid w:val="60241F66"/>
    <w:rsid w:val="609263BE"/>
    <w:rsid w:val="60954392"/>
    <w:rsid w:val="60E61530"/>
    <w:rsid w:val="60EE4FC3"/>
    <w:rsid w:val="613A076D"/>
    <w:rsid w:val="61653676"/>
    <w:rsid w:val="621E6D9F"/>
    <w:rsid w:val="63626E28"/>
    <w:rsid w:val="674F6A62"/>
    <w:rsid w:val="680E374D"/>
    <w:rsid w:val="6D3A5230"/>
    <w:rsid w:val="6D9F2955"/>
    <w:rsid w:val="6E081AD5"/>
    <w:rsid w:val="6F85151A"/>
    <w:rsid w:val="700F4375"/>
    <w:rsid w:val="70D02378"/>
    <w:rsid w:val="76D64DBB"/>
    <w:rsid w:val="7B3B38F6"/>
    <w:rsid w:val="7D84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19"/>
    <w:qFormat/>
    <w:uiPriority w:val="0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4">
    <w:name w:val="Document Map"/>
    <w:basedOn w:val="1"/>
    <w:link w:val="28"/>
    <w:semiHidden/>
    <w:unhideWhenUsed/>
    <w:qFormat/>
    <w:uiPriority w:val="99"/>
    <w:rPr>
      <w:rFonts w:ascii="宋体"/>
      <w:sz w:val="18"/>
      <w:szCs w:val="18"/>
    </w:rPr>
  </w:style>
  <w:style w:type="paragraph" w:styleId="5">
    <w:name w:val="Balloon Text"/>
    <w:basedOn w:val="1"/>
    <w:link w:val="29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2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2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Hyperlink"/>
    <w:qFormat/>
    <w:uiPriority w:val="0"/>
    <w:rPr>
      <w:color w:val="0000FF"/>
      <w:u w:val="single"/>
    </w:rPr>
  </w:style>
  <w:style w:type="paragraph" w:customStyle="1" w:styleId="11">
    <w:name w:val="文档结构图1"/>
    <w:basedOn w:val="1"/>
    <w:link w:val="20"/>
    <w:qFormat/>
    <w:uiPriority w:val="0"/>
    <w:rPr>
      <w:rFonts w:ascii="宋体"/>
      <w:sz w:val="18"/>
      <w:szCs w:val="18"/>
    </w:rPr>
  </w:style>
  <w:style w:type="paragraph" w:customStyle="1" w:styleId="12">
    <w:name w:val="页脚1"/>
    <w:basedOn w:val="1"/>
    <w:link w:val="2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3">
    <w:name w:val="正文文本缩进1"/>
    <w:basedOn w:val="1"/>
    <w:link w:val="22"/>
    <w:qFormat/>
    <w:uiPriority w:val="0"/>
    <w:pPr>
      <w:ind w:firstLine="560" w:firstLineChars="200"/>
    </w:pPr>
    <w:rPr>
      <w:rFonts w:eastAsia="楷体_GB2312"/>
      <w:sz w:val="28"/>
    </w:rPr>
  </w:style>
  <w:style w:type="paragraph" w:customStyle="1" w:styleId="14">
    <w:name w:val="页眉1"/>
    <w:basedOn w:val="1"/>
    <w:link w:val="2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5">
    <w:name w:val="批注框文本1"/>
    <w:basedOn w:val="1"/>
    <w:link w:val="25"/>
    <w:qFormat/>
    <w:uiPriority w:val="0"/>
    <w:rPr>
      <w:sz w:val="18"/>
      <w:szCs w:val="18"/>
    </w:rPr>
  </w:style>
  <w:style w:type="paragraph" w:customStyle="1" w:styleId="16">
    <w:name w:val="p0"/>
    <w:basedOn w:val="1"/>
    <w:qFormat/>
    <w:uiPriority w:val="0"/>
    <w:pPr>
      <w:widowControl/>
    </w:pPr>
    <w:rPr>
      <w:rFonts w:cs="宋体"/>
      <w:kern w:val="0"/>
      <w:szCs w:val="21"/>
    </w:rPr>
  </w:style>
  <w:style w:type="paragraph" w:customStyle="1" w:styleId="17">
    <w:name w:val="p1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8">
    <w:name w:val="列出段落1"/>
    <w:basedOn w:val="1"/>
    <w:qFormat/>
    <w:uiPriority w:val="0"/>
    <w:pPr>
      <w:ind w:firstLine="420" w:firstLineChars="200"/>
    </w:pPr>
  </w:style>
  <w:style w:type="character" w:customStyle="1" w:styleId="19">
    <w:name w:val="标题 1 Char"/>
    <w:basedOn w:val="9"/>
    <w:link w:val="3"/>
    <w:qFormat/>
    <w:uiPriority w:val="0"/>
    <w:rPr>
      <w:b/>
      <w:bCs/>
      <w:kern w:val="44"/>
      <w:sz w:val="44"/>
      <w:szCs w:val="44"/>
    </w:rPr>
  </w:style>
  <w:style w:type="character" w:customStyle="1" w:styleId="20">
    <w:name w:val="文档结构图 Char"/>
    <w:basedOn w:val="9"/>
    <w:link w:val="11"/>
    <w:qFormat/>
    <w:uiPriority w:val="0"/>
    <w:rPr>
      <w:rFonts w:ascii="宋体"/>
      <w:kern w:val="2"/>
      <w:sz w:val="18"/>
      <w:szCs w:val="18"/>
    </w:rPr>
  </w:style>
  <w:style w:type="character" w:customStyle="1" w:styleId="21">
    <w:name w:val="页脚 Char"/>
    <w:link w:val="12"/>
    <w:qFormat/>
    <w:uiPriority w:val="0"/>
    <w:rPr>
      <w:kern w:val="2"/>
      <w:sz w:val="18"/>
      <w:szCs w:val="18"/>
    </w:rPr>
  </w:style>
  <w:style w:type="character" w:customStyle="1" w:styleId="22">
    <w:name w:val="正文文本缩进 Char"/>
    <w:link w:val="13"/>
    <w:qFormat/>
    <w:uiPriority w:val="0"/>
    <w:rPr>
      <w:rFonts w:eastAsia="楷体_GB2312"/>
      <w:sz w:val="28"/>
    </w:rPr>
  </w:style>
  <w:style w:type="character" w:customStyle="1" w:styleId="23">
    <w:name w:val="页眉 Char"/>
    <w:link w:val="14"/>
    <w:qFormat/>
    <w:uiPriority w:val="0"/>
    <w:rPr>
      <w:kern w:val="2"/>
      <w:sz w:val="18"/>
      <w:szCs w:val="18"/>
    </w:rPr>
  </w:style>
  <w:style w:type="character" w:customStyle="1" w:styleId="24">
    <w:name w:val="正文文本缩进 Char1"/>
    <w:qFormat/>
    <w:uiPriority w:val="0"/>
    <w:rPr>
      <w:kern w:val="2"/>
      <w:sz w:val="21"/>
      <w:szCs w:val="22"/>
    </w:rPr>
  </w:style>
  <w:style w:type="character" w:customStyle="1" w:styleId="25">
    <w:name w:val="批注框文本 Char"/>
    <w:link w:val="15"/>
    <w:qFormat/>
    <w:uiPriority w:val="0"/>
    <w:rPr>
      <w:kern w:val="2"/>
      <w:sz w:val="18"/>
      <w:szCs w:val="18"/>
    </w:rPr>
  </w:style>
  <w:style w:type="character" w:customStyle="1" w:styleId="26">
    <w:name w:val="页眉 Char1"/>
    <w:basedOn w:val="9"/>
    <w:link w:val="7"/>
    <w:semiHidden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27">
    <w:name w:val="页脚 Char1"/>
    <w:basedOn w:val="9"/>
    <w:link w:val="6"/>
    <w:semiHidden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28">
    <w:name w:val="文档结构图 Char1"/>
    <w:basedOn w:val="9"/>
    <w:link w:val="4"/>
    <w:semiHidden/>
    <w:qFormat/>
    <w:uiPriority w:val="99"/>
    <w:rPr>
      <w:rFonts w:ascii="宋体" w:hAnsi="Calibri"/>
      <w:kern w:val="2"/>
      <w:sz w:val="18"/>
      <w:szCs w:val="18"/>
    </w:rPr>
  </w:style>
  <w:style w:type="character" w:customStyle="1" w:styleId="29">
    <w:name w:val="批注框文本 Char1"/>
    <w:basedOn w:val="9"/>
    <w:link w:val="5"/>
    <w:semiHidden/>
    <w:qFormat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14</Pages>
  <Words>828</Words>
  <Characters>4721</Characters>
  <Lines>39</Lines>
  <Paragraphs>11</Paragraphs>
  <TotalTime>3</TotalTime>
  <ScaleCrop>false</ScaleCrop>
  <LinksUpToDate>false</LinksUpToDate>
  <CharactersWithSpaces>5538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2019-04-30T07:04:00Z</dcterms:created>
  <dc:creator>微软用户</dc:creator>
  <cp:lastModifiedBy>万春辉</cp:lastModifiedBy>
  <cp:lastPrinted>2023-08-07T03:28:00Z</cp:lastPrinted>
  <dcterms:modified xsi:type="dcterms:W3CDTF">2023-08-09T09:12:58Z</dcterms:modified>
  <dc:title>福州市供电服务有限公司招聘公告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98F0EE56722145A19857117224407474_13</vt:lpwstr>
  </property>
</Properties>
</file>