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pacing w:val="16"/>
          <w:sz w:val="32"/>
          <w:szCs w:val="32"/>
        </w:rPr>
        <w:t>附件5：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Times New Roman" w:eastAsia="方正小标宋简体" w:cs="Times New Roman"/>
          <w:bCs/>
          <w:color w:val="000000"/>
          <w:spacing w:val="1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16"/>
          <w:sz w:val="44"/>
          <w:szCs w:val="44"/>
        </w:rPr>
        <w:t>体能测评项目和标准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（一）男子组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10米×4往返跑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≤13″1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1000米跑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纵跳摸高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≥265厘米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（二）女子组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10米×4往返跑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800米跑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纵跳摸高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≥230厘米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p>
      <w:bookmarkStart w:id="0" w:name="_GoBack"/>
      <w:bookmarkEnd w:id="0"/>
    </w:p>
    <w:sectPr>
      <w:pgSz w:w="11906" w:h="16838"/>
      <w:pgMar w:top="1985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474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2023-07-05T03:15:35Z</dcterms:created>
  <dc:creator>DELL</dc:creator>
  <cp:lastModifiedBy>故事细腻</cp:lastModifiedBy>
  <dcterms:modified xsi:type="dcterms:W3CDTF">2023-07-05T03:15:47Z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37CCCF6C85CF49219B429771CFD67A0D_12</vt:lpwstr>
  </property>
</Properties>
</file>