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cs="仿宋_GB2312"/>
          <w:b/>
          <w:sz w:val="30"/>
          <w:szCs w:val="30"/>
          <w:lang w:eastAsia="zh-CN"/>
        </w:rPr>
        <w:t>附件</w:t>
      </w:r>
      <w:r>
        <w:rPr>
          <w:rFonts w:hint="eastAsia" w:ascii="仿宋_GB2312" w:cs="仿宋_GB2312"/>
          <w:b/>
          <w:sz w:val="30"/>
          <w:szCs w:val="30"/>
          <w:lang w:val="en-US" w:eastAsia="zh-CN"/>
        </w:rPr>
        <w:t xml:space="preserve">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02" w:firstLineChars="1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漳州市医院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人才引进配套补助办法（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修订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推进“人才兴院”战略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完善更加灵活的引进机制，加大引进优秀高校博士毕业研究生力度，根据《中共漳州市委 漳州市人民政府印发&lt;漳州市“万才聚漳”行动计划&gt;的通知》（漳委发〔2021〕7号）文件精神，结合医院实际，特制定本办法。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2" w:firstLineChars="200"/>
        <w:jc w:val="left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适用对象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漳州市选优生当年度发布公告的引进对象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firstLine="562" w:firstLineChars="200"/>
        <w:jc w:val="left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人才积分评价认定体系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为规范引进选优生业绩成果核算工作，提高人才评估体系的科学性、合理性，引进的选优生在入职时对照人才积分评价认定体系进行积分，并根据积分享受医院对应的配套补助。选优生业绩统计周期为近五年，具体指标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）获得过学术奖励。获国家级科技进步奖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15分（排名第二12分、第三10分、第四6分、第五3分）；</w:t>
      </w:r>
      <w:r>
        <w:rPr>
          <w:rFonts w:hint="eastAsia" w:ascii="宋体" w:hAnsi="宋体" w:eastAsia="宋体" w:cs="宋体"/>
          <w:sz w:val="28"/>
          <w:szCs w:val="28"/>
        </w:rPr>
        <w:t>省部级科技进步奖一等奖得1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分（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10分、第三8分、第四2分、第五1分</w:t>
      </w:r>
      <w:r>
        <w:rPr>
          <w:rFonts w:hint="eastAsia" w:ascii="宋体" w:hAnsi="宋体" w:eastAsia="宋体" w:cs="宋体"/>
          <w:sz w:val="28"/>
          <w:szCs w:val="28"/>
        </w:rPr>
        <w:t>）；获省部级科技进步奖二等奖得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分（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8分、第三5分、第四1分、第五0.5分</w:t>
      </w:r>
      <w:r>
        <w:rPr>
          <w:rFonts w:hint="eastAsia" w:ascii="宋体" w:hAnsi="宋体" w:eastAsia="宋体" w:cs="宋体"/>
          <w:sz w:val="28"/>
          <w:szCs w:val="28"/>
        </w:rPr>
        <w:t>）；获省部级科技进步奖三等奖得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分（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5分、第三2分、第四0.5分</w:t>
      </w:r>
      <w:r>
        <w:rPr>
          <w:rFonts w:hint="eastAsia" w:ascii="宋体" w:hAnsi="宋体" w:eastAsia="宋体" w:cs="宋体"/>
          <w:sz w:val="28"/>
          <w:szCs w:val="28"/>
        </w:rPr>
        <w:t>）；获市厅级科技进步奖一等奖得5分（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3分、第三1分</w:t>
      </w:r>
      <w:r>
        <w:rPr>
          <w:rFonts w:hint="eastAsia" w:ascii="宋体" w:hAnsi="宋体" w:eastAsia="宋体" w:cs="宋体"/>
          <w:sz w:val="28"/>
          <w:szCs w:val="28"/>
        </w:rPr>
        <w:t>）；二等奖得3分（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2分、第三1分</w:t>
      </w:r>
      <w:r>
        <w:rPr>
          <w:rFonts w:hint="eastAsia" w:ascii="宋体" w:hAnsi="宋体" w:eastAsia="宋体" w:cs="宋体"/>
          <w:sz w:val="28"/>
          <w:szCs w:val="28"/>
        </w:rPr>
        <w:t>）；三等奖得2分（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1分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）参与过国家级重点项目研究。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或参与国自然面上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基金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项目等国家级课题每项</w:t>
      </w:r>
      <w:r>
        <w:rPr>
          <w:rFonts w:hint="eastAsia" w:ascii="宋体" w:hAnsi="宋体" w:eastAsia="宋体" w:cs="宋体"/>
          <w:sz w:val="28"/>
          <w:szCs w:val="28"/>
        </w:rPr>
        <w:t>得5分（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3.5分、第三2分、第四0.5分</w:t>
      </w:r>
      <w:r>
        <w:rPr>
          <w:rFonts w:hint="eastAsia" w:ascii="宋体" w:hAnsi="宋体" w:eastAsia="宋体" w:cs="宋体"/>
          <w:sz w:val="28"/>
          <w:szCs w:val="28"/>
        </w:rPr>
        <w:t>）；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或参与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国自然青年基金课题每项得3分（排名第二2分）；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或参与</w:t>
      </w:r>
      <w:r>
        <w:rPr>
          <w:rFonts w:hint="eastAsia" w:ascii="宋体" w:hAnsi="宋体" w:eastAsia="宋体" w:cs="宋体"/>
          <w:sz w:val="28"/>
          <w:szCs w:val="28"/>
        </w:rPr>
        <w:t>每项省部级课题得2分（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1分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（三）在本专业核心学术期刊发表过论著。发表每篇SCI影响因子大于等于10分的第一作者得3分；发表每篇SCI 影响因子大于等于5分、小于10分的第一作者得1.5分；发表每篇SCI 影响因子大于等于1分、小于5分的第一作者得1分。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备注：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1、论著不含会议交流、汇编、增刊、译文、个案报告、综述、科普文章、文艺著作、报刊文章、图片画报等。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2、论著必须符合论著格式，具有题名、作者、摘要、关键词、英文题名、英文摘要、英文关键词、正文、参考文献等项目，字数达3000字以上。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）发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明</w:t>
      </w:r>
      <w:r>
        <w:rPr>
          <w:rFonts w:hint="eastAsia" w:ascii="宋体" w:hAnsi="宋体" w:eastAsia="宋体" w:cs="宋体"/>
          <w:sz w:val="28"/>
          <w:szCs w:val="28"/>
        </w:rPr>
        <w:t>专利。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国际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发明专利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每项得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；国内发明专利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排名第一</w:t>
      </w:r>
      <w:r>
        <w:rPr>
          <w:rFonts w:hint="eastAsia" w:ascii="宋体" w:hAnsi="宋体" w:eastAsia="宋体" w:cs="宋体"/>
          <w:sz w:val="28"/>
          <w:szCs w:val="28"/>
        </w:rPr>
        <w:t>每项得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分。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发明的专利进行成果转化可酌情再加分。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研究生及以上阶段</w:t>
      </w:r>
      <w:r>
        <w:rPr>
          <w:rFonts w:hint="eastAsia" w:ascii="宋体" w:hAnsi="宋体" w:eastAsia="宋体" w:cs="宋体"/>
          <w:sz w:val="28"/>
          <w:szCs w:val="28"/>
        </w:rPr>
        <w:t>有国（境）外著名大学学习经历。按每月0.1分的学习经历得分，最多不超过1.2分。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firstLine="562" w:firstLineChars="200"/>
        <w:jc w:val="left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积分配套补助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引进的选优生工资按照漳州市事业单位工资政策执行。除可享受符合省、市人才引进有关政策待遇外，医院根据人才积分情况给予配套补助。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570" w:firstLineChars="800"/>
        <w:jc w:val="both"/>
        <w:textAlignment w:val="auto"/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选优生积分配套补助发放系数表</w:t>
      </w:r>
    </w:p>
    <w:tbl>
      <w:tblPr>
        <w:tblStyle w:val="4"/>
        <w:tblpPr w:leftFromText="180" w:rightFromText="180" w:vertAnchor="text" w:horzAnchor="page" w:tblpXSpec="center" w:tblpY="53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640"/>
        <w:gridCol w:w="2200"/>
        <w:gridCol w:w="210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积分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≥15分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10分≤积分＜15分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5分≤积分＜10分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＜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积分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＜5分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博士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1.5倍*108万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108万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0.8倍*108万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每积1分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8万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（一）通过“选优生”引进到漳州市医院工作未满10年，由于个人原因解除合同（辞职）的，全额退还所有安家补助、一次性购房补助和人才补助。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（二）其它要求可采取“一事一议”的面谈形式。</w:t>
      </w:r>
    </w:p>
    <w:p>
      <w:pPr>
        <w:spacing w:line="500" w:lineRule="exact"/>
        <w:jc w:val="both"/>
        <w:rPr>
          <w:rFonts w:hint="default" w:ascii="仿宋_GB2312" w:cs="仿宋_GB2312"/>
          <w:b/>
          <w:sz w:val="30"/>
          <w:szCs w:val="30"/>
          <w:lang w:val="en-US" w:eastAsia="zh-CN"/>
        </w:rPr>
      </w:pPr>
    </w:p>
    <w:p>
      <w:pPr>
        <w:spacing w:line="500" w:lineRule="exact"/>
        <w:jc w:val="both"/>
        <w:rPr>
          <w:rFonts w:hint="default" w:ascii="仿宋_GB2312" w:cs="仿宋_GB2312"/>
          <w:b/>
          <w:sz w:val="30"/>
          <w:szCs w:val="30"/>
          <w:lang w:val="en-US" w:eastAsia="zh-CN"/>
        </w:rPr>
      </w:pPr>
    </w:p>
    <w:p>
      <w:pPr>
        <w:spacing w:line="500" w:lineRule="exact"/>
        <w:jc w:val="both"/>
        <w:rPr>
          <w:rFonts w:hint="default" w:ascii="仿宋_GB2312" w:cs="仿宋_GB2312"/>
          <w:b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61188"/>
    <w:multiLevelType w:val="singleLevel"/>
    <w:tmpl w:val="CD1611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MGMxN2M3M2FiZWM2ODg4NGM2MzJjYzhjYjc4NzAifQ=="/>
  </w:docVars>
  <w:rsids>
    <w:rsidRoot w:val="30D04860"/>
    <w:rsid w:val="180169EF"/>
    <w:rsid w:val="30D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99"/>
    <w:pPr>
      <w:jc w:val="left"/>
    </w:p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2023-07-21T16:34:00Z</dcterms:created>
  <dc:creator>꧁༺天༒罚༻꧂</dc:creator>
  <cp:lastModifiedBy>꧁༺天༒罚༻꧂</cp:lastModifiedBy>
  <dcterms:modified xsi:type="dcterms:W3CDTF">2023-07-21T16:36:02Z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55A64B17D07A4BCC990189A6F35159A7_11</vt:lpwstr>
  </property>
</Properties>
</file>