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jc w:val="center"/>
        <w:rPr>
          <w:rFonts w:ascii="仿宋" w:hAnsi="仿宋" w:eastAsia="仿宋" w:cs="Times New Roman"/>
          <w:b/>
          <w:color w:val="000000"/>
          <w:spacing w:val="-6"/>
          <w:sz w:val="44"/>
          <w:szCs w:val="24"/>
        </w:rPr>
      </w:pPr>
      <w:r>
        <w:rPr>
          <w:rFonts w:hint="eastAsia" w:ascii="仿宋" w:hAnsi="仿宋" w:eastAsia="仿宋" w:cs="Times New Roman"/>
          <w:b/>
          <w:color w:val="000000"/>
          <w:spacing w:val="-6"/>
          <w:sz w:val="44"/>
          <w:szCs w:val="24"/>
        </w:rPr>
        <w:t>兰州工商学院教职工招聘公告</w:t>
      </w:r>
    </w:p>
    <w:p>
      <w:pPr>
        <w:widowControl/>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兰州工商学院是经教育部批准设置的民办普通本科学校，学校占地</w:t>
      </w:r>
      <w:r>
        <w:rPr>
          <w:rFonts w:ascii="仿宋" w:hAnsi="仿宋" w:eastAsia="仿宋" w:cs="Times New Roman"/>
          <w:sz w:val="32"/>
          <w:szCs w:val="32"/>
        </w:rPr>
        <w:t>1207</w:t>
      </w:r>
      <w:r>
        <w:rPr>
          <w:rFonts w:hint="eastAsia" w:ascii="仿宋" w:hAnsi="仿宋" w:eastAsia="仿宋" w:cs="Times New Roman"/>
          <w:sz w:val="32"/>
          <w:szCs w:val="32"/>
        </w:rPr>
        <w:t>亩，位于兰州市和平开发区，毗邻兰州市区，交通便利，校园绿树成荫，百花争艳，环境幽雅。校友会中国大学排名榜单中，兰州工商学院连续3年位列中国民办大学排行榜（Ⅲ类）第10位，蝉联6星级中国顶尖应用型大学。</w:t>
      </w:r>
      <w:r>
        <w:rPr>
          <w:rFonts w:ascii="仿宋" w:hAnsi="仿宋" w:eastAsia="仿宋" w:cs="Times New Roman"/>
          <w:sz w:val="32"/>
          <w:szCs w:val="32"/>
        </w:rPr>
        <w:t xml:space="preserve"> </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学校设置3</w:t>
      </w:r>
      <w:r>
        <w:rPr>
          <w:rFonts w:ascii="仿宋" w:hAnsi="仿宋" w:eastAsia="仿宋" w:cs="Times New Roman"/>
          <w:sz w:val="32"/>
          <w:szCs w:val="32"/>
        </w:rPr>
        <w:t>2</w:t>
      </w:r>
      <w:r>
        <w:rPr>
          <w:rFonts w:hint="eastAsia" w:ascii="仿宋" w:hAnsi="仿宋" w:eastAsia="仿宋" w:cs="Times New Roman"/>
          <w:sz w:val="32"/>
          <w:szCs w:val="32"/>
        </w:rPr>
        <w:t>个专业，涵盖经济、管理、工学、法学、文学、艺术学六个学科。在校生1</w:t>
      </w:r>
      <w:r>
        <w:rPr>
          <w:rFonts w:ascii="仿宋" w:hAnsi="仿宋" w:eastAsia="仿宋" w:cs="Times New Roman"/>
          <w:sz w:val="32"/>
          <w:szCs w:val="32"/>
        </w:rPr>
        <w:t>4</w:t>
      </w:r>
      <w:r>
        <w:rPr>
          <w:rFonts w:hint="eastAsia" w:ascii="仿宋" w:hAnsi="仿宋" w:eastAsia="仿宋" w:cs="Times New Roman"/>
          <w:sz w:val="32"/>
          <w:szCs w:val="32"/>
        </w:rPr>
        <w:t>000余人，教职工</w:t>
      </w:r>
      <w:r>
        <w:rPr>
          <w:rFonts w:ascii="仿宋" w:hAnsi="仿宋" w:eastAsia="仿宋" w:cs="Times New Roman"/>
          <w:sz w:val="32"/>
          <w:szCs w:val="32"/>
        </w:rPr>
        <w:t>900</w:t>
      </w:r>
      <w:r>
        <w:rPr>
          <w:rFonts w:hint="eastAsia" w:ascii="仿宋" w:hAnsi="仿宋" w:eastAsia="仿宋" w:cs="Times New Roman"/>
          <w:sz w:val="32"/>
          <w:szCs w:val="32"/>
        </w:rPr>
        <w:t>余人。获批省级一流专业建设点6个、省级一流课程5个、省级教学团队1个。获批甘肃省经济管理实验教学示范中心、甘肃省高校区域循环经济重点实验室、众创空间、甘肃高校大学生礼仪素养提升平台等4个省级教学科研实践平台，为教师学术深造、成果培育提供了优质资源。</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校坚持把教职工作为教育发展的第一资源，重视教职工成长，入职后享受学校多元化、系统化培训，发挥高职称教师、中层管理干部“传、帮、带”作用，实施新入职员工“导师制”，帮助青年教职工形成个人职业发展规划，提升业务能力。为实现学校内涵发展、转型发展、创新发展需要，现</w:t>
      </w:r>
      <w:r>
        <w:rPr>
          <w:rFonts w:ascii="仿宋" w:hAnsi="仿宋" w:eastAsia="仿宋" w:cs="Times New Roman"/>
          <w:sz w:val="32"/>
          <w:szCs w:val="32"/>
        </w:rPr>
        <w:t>面向社会广纳贤才，热情欢迎各界人才加盟，携手共创学</w:t>
      </w:r>
      <w:r>
        <w:rPr>
          <w:rFonts w:hint="eastAsia" w:ascii="仿宋" w:hAnsi="仿宋" w:eastAsia="仿宋" w:cs="Times New Roman"/>
          <w:sz w:val="32"/>
          <w:szCs w:val="32"/>
        </w:rPr>
        <w:t>校</w:t>
      </w:r>
      <w:r>
        <w:rPr>
          <w:rFonts w:ascii="仿宋" w:hAnsi="仿宋" w:eastAsia="仿宋" w:cs="Times New Roman"/>
          <w:sz w:val="32"/>
          <w:szCs w:val="32"/>
        </w:rPr>
        <w:t>的美好明天</w:t>
      </w:r>
      <w:r>
        <w:rPr>
          <w:rFonts w:hint="eastAsia" w:ascii="仿宋" w:hAnsi="仿宋" w:eastAsia="仿宋" w:cs="Times New Roman"/>
          <w:sz w:val="32"/>
          <w:szCs w:val="32"/>
        </w:rPr>
        <w:t>。</w:t>
      </w:r>
    </w:p>
    <w:p>
      <w:pPr>
        <w:tabs>
          <w:tab w:val="left" w:pos="1130"/>
        </w:tabs>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一、招聘基本条件</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（一）拥护党的领导，热爱党的教育事业，具有良好的思想品德和政治素质，遵守国家法律法规，无违法犯罪记录。</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（二）认同我校办学理念、管理理念、文化及价值观。</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（三）具有较强的语言表达能力、沟通能力、团队意识、服务意识，工作有思路、有想法，对高校工作有一定的认知，有志于长期从事高等教育事业。</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（四）招聘岗位为</w:t>
      </w:r>
      <w:bookmarkStart w:id="0" w:name="_GoBack"/>
      <w:r>
        <w:rPr>
          <w:rFonts w:hint="eastAsia" w:ascii="仿宋" w:hAnsi="仿宋" w:eastAsia="仿宋" w:cs="Times New Roman"/>
          <w:sz w:val="32"/>
          <w:szCs w:val="32"/>
        </w:rPr>
        <w:t>教师、辅导员、行政管理、教学秘书、资产管理、食品安全（具体岗位及要求见附件）。</w:t>
      </w:r>
    </w:p>
    <w:bookmarkEnd w:id="0"/>
    <w:p>
      <w:pPr>
        <w:widowControl/>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（五）具有副高级及以上职称、5年及以上企业工作经历且担任过领导职务的，学历可放宽至本科，并按照人才引进享受相应职称或职务待遇。</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（六）身心健康，体检合格。</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（七）有下列情形之一者不得报名：</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w:t>
      </w:r>
      <w:r>
        <w:rPr>
          <w:rFonts w:hint="eastAsia" w:ascii="仿宋" w:hAnsi="仿宋" w:eastAsia="仿宋" w:cs="Times New Roman"/>
          <w:sz w:val="32"/>
          <w:szCs w:val="32"/>
        </w:rPr>
        <w:t>因犯罪受过刑事处罚，或因涉嫌犯罪采取强制措施的；</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w:t>
      </w:r>
      <w:r>
        <w:rPr>
          <w:rFonts w:hint="eastAsia" w:ascii="仿宋" w:hAnsi="仿宋" w:eastAsia="仿宋" w:cs="Times New Roman"/>
          <w:sz w:val="32"/>
          <w:szCs w:val="32"/>
        </w:rPr>
        <w:t>在校期间受过处分且未过处分期的；</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sz w:val="32"/>
          <w:szCs w:val="32"/>
        </w:rPr>
        <w:t>曾在各级公务员招考和事业单位招聘中被认定有舞弊等违反考试录用纪律行为的；</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Times New Roman"/>
          <w:sz w:val="32"/>
          <w:szCs w:val="32"/>
        </w:rPr>
        <w:t>被依法列入失信联合惩戒对象名单的。</w:t>
      </w:r>
    </w:p>
    <w:p>
      <w:pPr>
        <w:tabs>
          <w:tab w:val="left" w:pos="1130"/>
        </w:tabs>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二、招聘流程</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（一）报名</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1.报名时间</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报名截止时间为2023年8月</w:t>
      </w:r>
      <w:r>
        <w:rPr>
          <w:rFonts w:ascii="仿宋" w:hAnsi="仿宋" w:eastAsia="仿宋" w:cs="Times New Roman"/>
          <w:color w:val="000000" w:themeColor="text1"/>
          <w:sz w:val="32"/>
          <w:szCs w:val="32"/>
          <w14:textFill>
            <w14:solidFill>
              <w14:schemeClr w14:val="tx1"/>
            </w14:solidFill>
          </w14:textFill>
        </w:rPr>
        <w:t>10</w:t>
      </w:r>
      <w:r>
        <w:rPr>
          <w:rFonts w:hint="eastAsia" w:ascii="仿宋" w:hAnsi="仿宋" w:eastAsia="仿宋" w:cs="Times New Roman"/>
          <w:color w:val="000000" w:themeColor="text1"/>
          <w:sz w:val="32"/>
          <w:szCs w:val="32"/>
          <w14:textFill>
            <w14:solidFill>
              <w14:schemeClr w14:val="tx1"/>
            </w14:solidFill>
          </w14:textFill>
        </w:rPr>
        <w:t>日</w:t>
      </w:r>
      <w:r>
        <w:rPr>
          <w:rFonts w:hint="eastAsia" w:ascii="仿宋" w:hAnsi="仿宋" w:eastAsia="仿宋" w:cs="Times New Roman"/>
          <w:sz w:val="32"/>
          <w:szCs w:val="32"/>
        </w:rPr>
        <w:t>，简历投递时间为每天上午</w:t>
      </w:r>
      <w:r>
        <w:rPr>
          <w:rFonts w:ascii="仿宋" w:hAnsi="仿宋" w:eastAsia="仿宋" w:cs="Times New Roman"/>
          <w:sz w:val="32"/>
          <w:szCs w:val="32"/>
        </w:rPr>
        <w:t>9</w:t>
      </w:r>
      <w:r>
        <w:rPr>
          <w:rFonts w:hint="eastAsia" w:ascii="仿宋" w:hAnsi="仿宋" w:eastAsia="仿宋" w:cs="Times New Roman"/>
          <w:sz w:val="32"/>
          <w:szCs w:val="32"/>
        </w:rPr>
        <w:t>点-下午6点。</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2.报名流程</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应聘人员通过实名注册登录我校招聘平台（http://jobs.lanzhoutbc.cn/zp.html）进行简历投递。系统简历填写要求如下：</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（1）所填内容须真实反映个人学习、工作、生活等基本情况；</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（2）学习经历须从高中开始填写至最后学历学位，在大学期间担任学生干部的经历填写至学习经历中；</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（3）工作经历包含实习经历、科研实践等，须包含工作（实习）单位具体部门及岗位；</w:t>
      </w:r>
      <w:r>
        <w:rPr>
          <w:rFonts w:ascii="仿宋" w:hAnsi="仿宋" w:eastAsia="仿宋" w:cs="Times New Roman"/>
          <w:sz w:val="32"/>
          <w:szCs w:val="32"/>
        </w:rPr>
        <w:t xml:space="preserve"> </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（4）奖惩信息中包含在校及实习、工作过程中所有奖惩信息，例如在校期间所获得的各类奖学金、竞赛奖励、实习或工作单位所获得的各类表彰等；</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（5）上传的附件包括：身份证、学历学位证书（含学信网学历查询证明，境外留学人员需提供教育部中国留学服务中心境外学历学位认证书）、职称证、各类等级考试证书、各类获奖证书、成绩单等扫描件。</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（二）资格审查</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人事处对所投简历及佐证材料进行筛查及初审，符合招聘条件者接到通知后，须携带所有材料原件及复印件参加面试。资格审查不通过的，不进入面试考核环节。</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（三）考试考核</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学校按照“面试+笔试”的方式择优遴选，全面考察应聘者职业品格、专业知识、综合能力等，考试考核安排如下：</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w:t>
      </w:r>
      <w:r>
        <w:rPr>
          <w:rFonts w:hint="eastAsia" w:ascii="仿宋" w:hAnsi="仿宋" w:eastAsia="仿宋" w:cs="Times New Roman"/>
          <w:sz w:val="32"/>
          <w:szCs w:val="32"/>
        </w:rPr>
        <w:t>小组初试，通过面谈方式核实应聘者基本情况，测评应聘者的语言表达、逻辑思维、环境应变等个人能力；</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w:t>
      </w:r>
      <w:r>
        <w:rPr>
          <w:rFonts w:hint="eastAsia" w:ascii="仿宋" w:hAnsi="仿宋" w:eastAsia="仿宋" w:cs="Times New Roman"/>
          <w:sz w:val="32"/>
          <w:szCs w:val="32"/>
        </w:rPr>
        <w:t>笔试（辅导员/行政管理岗），通过试卷考核应聘者担任相应岗位的潜力或资质，以测评思想政治、文字表达、岗位认知、逻辑思维、专业知识掌握等能力为主；</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sz w:val="32"/>
          <w:szCs w:val="32"/>
        </w:rPr>
        <w:t>试讲（教师岗），通过试讲主要考察应聘者专业知识、教育教学方式方法等的掌握情况，是否具备教师岗应具备的基本素养；</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Times New Roman"/>
          <w:sz w:val="32"/>
          <w:szCs w:val="32"/>
        </w:rPr>
        <w:t>综合复试，通过面谈方式由考评组成员主要测评应聘者的职业规划、个人素养等综合能力。</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根据资格审查、考试考核、体检结果，符合学校招聘要求的，学校按照有关程序签订劳动合同。</w:t>
      </w:r>
    </w:p>
    <w:p>
      <w:pPr>
        <w:tabs>
          <w:tab w:val="left" w:pos="1130"/>
        </w:tabs>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三、薪酬待遇</w:t>
      </w:r>
    </w:p>
    <w:p>
      <w:pPr>
        <w:widowControl/>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（一）提供良好的晋升空间、有竞争力的薪酬，根据校内薪酬制度发放基本工资、岗位工资、校龄工资、交通补贴及其他各类津贴，鼓励多劳多得，年均收入6-8万。</w:t>
      </w:r>
    </w:p>
    <w:p>
      <w:pPr>
        <w:widowControl/>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（二）提供岗前培训、业务能力提升培训及专业实践多重平台。</w:t>
      </w:r>
    </w:p>
    <w:p>
      <w:pPr>
        <w:widowControl/>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（三）工作日午餐及通勤校车。</w:t>
      </w:r>
    </w:p>
    <w:p>
      <w:pPr>
        <w:widowControl/>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（四）购买社会保险及住房公积金。</w:t>
      </w:r>
    </w:p>
    <w:p>
      <w:pPr>
        <w:widowControl/>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（五）享受端午节、教师节、中秋节、春节等节日福利。</w:t>
      </w:r>
    </w:p>
    <w:p>
      <w:pPr>
        <w:widowControl/>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（六）年度体检、工会慰问等各类福利。</w:t>
      </w:r>
    </w:p>
    <w:p>
      <w:pPr>
        <w:widowControl/>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（七）可根据个人情况申请住宿。</w:t>
      </w:r>
    </w:p>
    <w:p>
      <w:pPr>
        <w:tabs>
          <w:tab w:val="left" w:pos="1130"/>
        </w:tabs>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四、联系方式</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联系人：李老师</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联系电话：0931-5271793</w:t>
      </w:r>
      <w:r>
        <w:rPr>
          <w:rFonts w:ascii="Calibri" w:hAnsi="Calibri" w:eastAsia="仿宋" w:cs="Calibri"/>
          <w:sz w:val="32"/>
          <w:szCs w:val="32"/>
        </w:rPr>
        <w:t> </w:t>
      </w:r>
      <w:r>
        <w:rPr>
          <w:rFonts w:hint="eastAsia" w:ascii="仿宋" w:hAnsi="仿宋" w:eastAsia="仿宋" w:cs="Times New Roman"/>
          <w:sz w:val="32"/>
          <w:szCs w:val="32"/>
        </w:rPr>
        <w:t>/ 0931-52717</w:t>
      </w:r>
      <w:r>
        <w:rPr>
          <w:rFonts w:ascii="仿宋" w:hAnsi="仿宋" w:eastAsia="仿宋" w:cs="Times New Roman"/>
          <w:sz w:val="32"/>
          <w:szCs w:val="32"/>
        </w:rPr>
        <w:t>25</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联系地址：甘肃省兰州市和平开发区薇乐大道68号兰州工商学院人事处</w:t>
      </w:r>
    </w:p>
    <w:p>
      <w:pPr>
        <w:widowControl/>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邮编：730101</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 </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附件：兰州工商学院教职工招聘计划表</w:t>
      </w: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p>
    <w:p>
      <w:pPr>
        <w:widowControl/>
        <w:spacing w:line="520" w:lineRule="exact"/>
        <w:ind w:right="320"/>
        <w:jc w:val="right"/>
        <w:rPr>
          <w:rFonts w:ascii="仿宋" w:hAnsi="仿宋" w:eastAsia="仿宋" w:cs="Times New Roman"/>
          <w:sz w:val="32"/>
          <w:szCs w:val="32"/>
        </w:rPr>
      </w:pPr>
      <w:r>
        <w:rPr>
          <w:rFonts w:hint="eastAsia" w:ascii="仿宋" w:hAnsi="仿宋" w:eastAsia="仿宋" w:cs="Times New Roman"/>
          <w:sz w:val="32"/>
          <w:szCs w:val="32"/>
        </w:rPr>
        <w:t>兰州工商学院</w:t>
      </w:r>
    </w:p>
    <w:p>
      <w:pPr>
        <w:widowControl/>
        <w:spacing w:line="520" w:lineRule="exact"/>
        <w:jc w:val="right"/>
        <w:rPr>
          <w:rFonts w:ascii="仿宋" w:hAnsi="仿宋" w:eastAsia="仿宋" w:cs="Times New Roman"/>
          <w:sz w:val="32"/>
          <w:szCs w:val="32"/>
        </w:rPr>
      </w:pPr>
      <w:r>
        <w:rPr>
          <w:rFonts w:hint="eastAsia" w:ascii="仿宋" w:hAnsi="仿宋" w:eastAsia="仿宋" w:cs="Times New Roman"/>
          <w:sz w:val="32"/>
          <w:szCs w:val="32"/>
        </w:rPr>
        <w:t>202</w:t>
      </w:r>
      <w:r>
        <w:rPr>
          <w:rFonts w:ascii="仿宋" w:hAnsi="仿宋" w:eastAsia="仿宋" w:cs="Times New Roman"/>
          <w:sz w:val="32"/>
          <w:szCs w:val="32"/>
        </w:rPr>
        <w:t>3</w:t>
      </w:r>
      <w:r>
        <w:rPr>
          <w:rFonts w:hint="eastAsia" w:ascii="仿宋" w:hAnsi="仿宋" w:eastAsia="仿宋" w:cs="Times New Roman"/>
          <w:sz w:val="32"/>
          <w:szCs w:val="32"/>
        </w:rPr>
        <w:t>年7月</w:t>
      </w:r>
      <w:r>
        <w:rPr>
          <w:rFonts w:ascii="仿宋" w:hAnsi="仿宋" w:eastAsia="仿宋" w:cs="Times New Roman"/>
          <w:sz w:val="32"/>
          <w:szCs w:val="32"/>
        </w:rPr>
        <w:t>21</w:t>
      </w:r>
      <w:r>
        <w:rPr>
          <w:rFonts w:hint="eastAsia" w:ascii="仿宋" w:hAnsi="仿宋" w:eastAsia="仿宋" w:cs="Times New Roman"/>
          <w:sz w:val="32"/>
          <w:szCs w:val="32"/>
        </w:rPr>
        <w:t>日</w:t>
      </w:r>
    </w:p>
    <w:p>
      <w:pPr>
        <w:widowControl/>
        <w:spacing w:line="600" w:lineRule="exact"/>
        <w:jc w:val="left"/>
        <w:rPr>
          <w:rFonts w:ascii="仿宋" w:hAnsi="仿宋" w:eastAsia="仿宋" w:cs="宋体"/>
          <w:color w:val="000000"/>
          <w:kern w:val="0"/>
          <w:sz w:val="28"/>
          <w:szCs w:val="28"/>
        </w:rPr>
      </w:pPr>
    </w:p>
    <w:p>
      <w:pPr>
        <w:widowControl/>
        <w:spacing w:line="600" w:lineRule="exact"/>
        <w:jc w:val="left"/>
        <w:rPr>
          <w:rFonts w:ascii="仿宋" w:hAnsi="仿宋" w:eastAsia="仿宋" w:cs="宋体"/>
          <w:color w:val="000000"/>
          <w:kern w:val="0"/>
          <w:sz w:val="28"/>
          <w:szCs w:val="28"/>
        </w:rPr>
      </w:pPr>
    </w:p>
    <w:p>
      <w:pPr>
        <w:widowControl/>
        <w:spacing w:line="600" w:lineRule="exact"/>
        <w:jc w:val="left"/>
        <w:rPr>
          <w:rFonts w:ascii="仿宋" w:hAnsi="仿宋" w:eastAsia="仿宋" w:cs="宋体"/>
          <w:color w:val="000000"/>
          <w:kern w:val="0"/>
          <w:sz w:val="28"/>
          <w:szCs w:val="28"/>
        </w:rPr>
      </w:pPr>
    </w:p>
    <w:p>
      <w:pPr>
        <w:widowControl/>
        <w:spacing w:line="600" w:lineRule="exact"/>
        <w:jc w:val="left"/>
        <w:rPr>
          <w:rFonts w:ascii="仿宋" w:hAnsi="仿宋" w:eastAsia="仿宋" w:cs="宋体"/>
          <w:color w:val="000000"/>
          <w:kern w:val="0"/>
          <w:sz w:val="28"/>
          <w:szCs w:val="28"/>
        </w:rPr>
      </w:pPr>
    </w:p>
    <w:p>
      <w:pPr>
        <w:widowControl/>
        <w:spacing w:line="600" w:lineRule="exact"/>
        <w:jc w:val="left"/>
        <w:rPr>
          <w:rFonts w:ascii="仿宋" w:hAnsi="仿宋" w:eastAsia="仿宋" w:cs="宋体"/>
          <w:color w:val="000000"/>
          <w:kern w:val="0"/>
          <w:sz w:val="28"/>
          <w:szCs w:val="28"/>
        </w:rPr>
      </w:pPr>
    </w:p>
    <w:p>
      <w:pPr>
        <w:widowControl/>
        <w:spacing w:line="600" w:lineRule="exact"/>
        <w:jc w:val="left"/>
        <w:rPr>
          <w:rFonts w:ascii="仿宋" w:hAnsi="仿宋" w:eastAsia="仿宋" w:cs="宋体"/>
          <w:color w:val="000000"/>
          <w:kern w:val="0"/>
          <w:sz w:val="28"/>
          <w:szCs w:val="28"/>
        </w:rPr>
      </w:pPr>
    </w:p>
    <w:p>
      <w:pPr>
        <w:widowControl/>
        <w:spacing w:line="600" w:lineRule="exact"/>
        <w:jc w:val="left"/>
        <w:rPr>
          <w:rFonts w:ascii="仿宋" w:hAnsi="仿宋" w:eastAsia="仿宋" w:cs="宋体"/>
          <w:color w:val="000000"/>
          <w:kern w:val="0"/>
          <w:sz w:val="28"/>
          <w:szCs w:val="28"/>
        </w:rPr>
      </w:pPr>
    </w:p>
    <w:p>
      <w:pPr>
        <w:widowControl/>
        <w:spacing w:line="600" w:lineRule="exact"/>
        <w:jc w:val="left"/>
        <w:rPr>
          <w:rFonts w:ascii="仿宋" w:hAnsi="仿宋" w:eastAsia="仿宋" w:cs="宋体"/>
          <w:color w:val="000000"/>
          <w:kern w:val="0"/>
          <w:sz w:val="28"/>
          <w:szCs w:val="28"/>
        </w:rPr>
      </w:pPr>
    </w:p>
    <w:p>
      <w:pPr>
        <w:widowControl/>
        <w:spacing w:line="600" w:lineRule="exact"/>
        <w:jc w:val="left"/>
        <w:rPr>
          <w:rFonts w:ascii="仿宋" w:hAnsi="仿宋" w:eastAsia="仿宋" w:cs="宋体"/>
          <w:color w:val="000000"/>
          <w:kern w:val="0"/>
          <w:sz w:val="28"/>
          <w:szCs w:val="28"/>
        </w:rPr>
      </w:pPr>
    </w:p>
    <w:p>
      <w:pPr>
        <w:widowControl/>
        <w:spacing w:line="600" w:lineRule="exact"/>
        <w:jc w:val="left"/>
        <w:rPr>
          <w:rFonts w:ascii="仿宋" w:hAnsi="仿宋" w:eastAsia="仿宋" w:cs="宋体"/>
          <w:color w:val="000000"/>
          <w:kern w:val="0"/>
          <w:sz w:val="28"/>
          <w:szCs w:val="28"/>
        </w:rPr>
      </w:pPr>
    </w:p>
    <w:p>
      <w:pPr>
        <w:jc w:val="left"/>
        <w:rPr>
          <w:rFonts w:ascii="仿宋" w:hAnsi="仿宋" w:eastAsia="仿宋"/>
          <w:b/>
          <w:bCs/>
          <w:sz w:val="24"/>
          <w:szCs w:val="24"/>
        </w:rPr>
      </w:pPr>
    </w:p>
    <w:p>
      <w:pPr>
        <w:jc w:val="left"/>
        <w:rPr>
          <w:rFonts w:ascii="仿宋" w:hAnsi="仿宋" w:eastAsia="仿宋"/>
          <w:b/>
          <w:bCs/>
          <w:sz w:val="24"/>
          <w:szCs w:val="24"/>
        </w:rPr>
      </w:pPr>
      <w:r>
        <w:rPr>
          <w:rFonts w:hint="eastAsia" w:ascii="仿宋" w:hAnsi="仿宋" w:eastAsia="仿宋"/>
          <w:b/>
          <w:bCs/>
          <w:sz w:val="24"/>
          <w:szCs w:val="24"/>
        </w:rPr>
        <w:t>附件：</w:t>
      </w:r>
    </w:p>
    <w:p>
      <w:pPr>
        <w:jc w:val="center"/>
        <w:rPr>
          <w:rFonts w:ascii="仿宋" w:hAnsi="仿宋" w:eastAsia="仿宋"/>
          <w:b/>
          <w:bCs/>
          <w:sz w:val="32"/>
          <w:szCs w:val="32"/>
        </w:rPr>
      </w:pPr>
      <w:r>
        <w:rPr>
          <w:rFonts w:hint="eastAsia" w:ascii="仿宋" w:hAnsi="仿宋" w:eastAsia="仿宋"/>
          <w:b/>
          <w:bCs/>
          <w:sz w:val="32"/>
          <w:szCs w:val="32"/>
        </w:rPr>
        <w:t>兰州工商学院教职工招聘计划</w:t>
      </w:r>
    </w:p>
    <w:tbl>
      <w:tblPr>
        <w:tblStyle w:val="7"/>
        <w:tblpPr w:leftFromText="180" w:rightFromText="180" w:vertAnchor="text" w:horzAnchor="page" w:tblpX="1275" w:tblpY="444"/>
        <w:tblOverlap w:val="never"/>
        <w:tblW w:w="48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086"/>
        <w:gridCol w:w="4936"/>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trPr>
        <w:tc>
          <w:tcPr>
            <w:tcW w:w="422" w:type="pct"/>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岗位</w:t>
            </w:r>
          </w:p>
        </w:tc>
        <w:tc>
          <w:tcPr>
            <w:tcW w:w="576" w:type="pct"/>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学历</w:t>
            </w:r>
          </w:p>
        </w:tc>
        <w:tc>
          <w:tcPr>
            <w:tcW w:w="2618" w:type="pct"/>
            <w:vAlign w:val="center"/>
          </w:tcPr>
          <w:p>
            <w:pPr>
              <w:widowControl/>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学科专业要求</w:t>
            </w:r>
          </w:p>
        </w:tc>
        <w:tc>
          <w:tcPr>
            <w:tcW w:w="1384" w:type="pct"/>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restart"/>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专</w:t>
            </w:r>
          </w:p>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任</w:t>
            </w:r>
          </w:p>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教</w:t>
            </w:r>
          </w:p>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师</w:t>
            </w:r>
          </w:p>
          <w:p>
            <w:pPr>
              <w:widowControl/>
              <w:jc w:val="center"/>
              <w:rPr>
                <w:rFonts w:ascii="仿宋" w:hAnsi="仿宋" w:eastAsia="仿宋" w:cs="宋体"/>
                <w:color w:val="000000"/>
                <w:kern w:val="0"/>
                <w:sz w:val="24"/>
                <w:szCs w:val="24"/>
              </w:rPr>
            </w:pPr>
          </w:p>
          <w:p>
            <w:pPr>
              <w:jc w:val="center"/>
              <w:rPr>
                <w:rFonts w:ascii="仿宋" w:hAnsi="仿宋" w:eastAsia="仿宋" w:cs="宋体"/>
                <w:bCs/>
                <w:color w:val="000000"/>
                <w:kern w:val="0"/>
                <w:sz w:val="24"/>
                <w:szCs w:val="24"/>
              </w:rPr>
            </w:pPr>
          </w:p>
        </w:tc>
        <w:tc>
          <w:tcPr>
            <w:tcW w:w="576" w:type="pct"/>
            <w:vMerge w:val="restar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硕士研究生</w:t>
            </w:r>
          </w:p>
          <w:p>
            <w:pPr>
              <w:widowControl/>
              <w:jc w:val="center"/>
              <w:rPr>
                <w:rFonts w:ascii="仿宋" w:hAnsi="仿宋" w:eastAsia="仿宋" w:cs="宋体"/>
                <w:bCs/>
                <w:color w:val="000000"/>
                <w:kern w:val="0"/>
                <w:sz w:val="24"/>
                <w:szCs w:val="24"/>
              </w:rPr>
            </w:pPr>
            <w:r>
              <w:rPr>
                <w:rFonts w:hint="eastAsia" w:ascii="仿宋" w:hAnsi="仿宋" w:eastAsia="仿宋" w:cs="宋体"/>
                <w:color w:val="000000"/>
                <w:kern w:val="0"/>
                <w:sz w:val="24"/>
                <w:szCs w:val="24"/>
              </w:rPr>
              <w:t>及以上</w:t>
            </w:r>
          </w:p>
          <w:p>
            <w:pPr>
              <w:jc w:val="center"/>
              <w:rPr>
                <w:rFonts w:ascii="仿宋" w:hAnsi="仿宋" w:eastAsia="仿宋" w:cs="宋体"/>
                <w:bCs/>
                <w:color w:val="000000"/>
                <w:kern w:val="0"/>
                <w:sz w:val="24"/>
                <w:szCs w:val="24"/>
              </w:rPr>
            </w:pPr>
          </w:p>
        </w:tc>
        <w:tc>
          <w:tcPr>
            <w:tcW w:w="2618" w:type="pct"/>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哲学</w:t>
            </w:r>
          </w:p>
        </w:tc>
        <w:tc>
          <w:tcPr>
            <w:tcW w:w="1384" w:type="pct"/>
            <w:vMerge w:val="restart"/>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1.有行业工作经验或高校教育工作经历者优先考虑；</w:t>
            </w:r>
          </w:p>
          <w:p>
            <w:pPr>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2.有考研英语、数学、政治辅导工作经历者优先考虑；</w:t>
            </w:r>
          </w:p>
          <w:p>
            <w:pPr>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3</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在学科竞赛、科研项目、论文发表、教学改革等研究中取得成果者优先；</w:t>
            </w:r>
          </w:p>
          <w:p>
            <w:pPr>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4</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本硕专业应相关，或符合学校交叉学科专业要求。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经济学、</w:t>
            </w:r>
            <w:r>
              <w:rPr>
                <w:rFonts w:hint="eastAsia" w:ascii="仿宋" w:hAnsi="仿宋" w:eastAsia="仿宋" w:cs="仿宋"/>
                <w:spacing w:val="6"/>
                <w:sz w:val="24"/>
                <w:szCs w:val="24"/>
              </w:rPr>
              <w:t>财政学、金融</w:t>
            </w:r>
          </w:p>
        </w:tc>
        <w:tc>
          <w:tcPr>
            <w:tcW w:w="1384" w:type="pct"/>
            <w:vMerge w:val="continue"/>
            <w:vAlign w:val="center"/>
          </w:tcPr>
          <w:p>
            <w:pPr>
              <w:widowControl/>
              <w:jc w:val="left"/>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政治学、马克思主义理论</w:t>
            </w:r>
          </w:p>
        </w:tc>
        <w:tc>
          <w:tcPr>
            <w:tcW w:w="1384" w:type="pct"/>
            <w:vMerge w:val="continue"/>
            <w:vAlign w:val="center"/>
          </w:tcPr>
          <w:p>
            <w:pPr>
              <w:widowControl/>
              <w:jc w:val="left"/>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jc w:val="center"/>
              <w:rPr>
                <w:rFonts w:ascii="仿宋" w:hAnsi="仿宋" w:eastAsia="仿宋" w:cs="宋体"/>
                <w:bCs/>
                <w:color w:val="000000"/>
                <w:kern w:val="0"/>
                <w:sz w:val="24"/>
                <w:szCs w:val="24"/>
              </w:rPr>
            </w:pPr>
          </w:p>
        </w:tc>
        <w:tc>
          <w:tcPr>
            <w:tcW w:w="576" w:type="pct"/>
            <w:vMerge w:val="continue"/>
            <w:vAlign w:val="center"/>
          </w:tcPr>
          <w:p>
            <w:pPr>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5"/>
                <w:sz w:val="24"/>
                <w:szCs w:val="24"/>
              </w:rPr>
            </w:pPr>
            <w:r>
              <w:rPr>
                <w:rFonts w:hint="eastAsia" w:ascii="仿宋" w:hAnsi="仿宋" w:eastAsia="仿宋" w:cs="仿宋"/>
                <w:spacing w:val="6"/>
                <w:sz w:val="24"/>
                <w:szCs w:val="24"/>
              </w:rPr>
              <w:t>法学（民商法、法理学、宪法与行政法）</w:t>
            </w:r>
          </w:p>
        </w:tc>
        <w:tc>
          <w:tcPr>
            <w:tcW w:w="1384" w:type="pct"/>
            <w:vMerge w:val="continue"/>
            <w:vAlign w:val="center"/>
          </w:tcPr>
          <w:p>
            <w:pPr>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jc w:val="center"/>
              <w:rPr>
                <w:rFonts w:ascii="仿宋" w:hAnsi="仿宋" w:eastAsia="仿宋" w:cs="宋体"/>
                <w:bCs/>
                <w:color w:val="000000"/>
                <w:kern w:val="0"/>
                <w:sz w:val="24"/>
                <w:szCs w:val="24"/>
              </w:rPr>
            </w:pPr>
          </w:p>
        </w:tc>
        <w:tc>
          <w:tcPr>
            <w:tcW w:w="576" w:type="pct"/>
            <w:vMerge w:val="continue"/>
            <w:vAlign w:val="center"/>
          </w:tcPr>
          <w:p>
            <w:pPr>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4"/>
                <w:sz w:val="24"/>
                <w:szCs w:val="24"/>
              </w:rPr>
            </w:pPr>
            <w:r>
              <w:rPr>
                <w:rFonts w:hint="eastAsia" w:ascii="仿宋" w:hAnsi="仿宋" w:eastAsia="仿宋" w:cs="仿宋"/>
                <w:spacing w:val="4"/>
                <w:sz w:val="24"/>
                <w:szCs w:val="24"/>
              </w:rPr>
              <w:t>土木工程</w:t>
            </w:r>
          </w:p>
        </w:tc>
        <w:tc>
          <w:tcPr>
            <w:tcW w:w="1384" w:type="pct"/>
            <w:vMerge w:val="continue"/>
            <w:vAlign w:val="center"/>
          </w:tcPr>
          <w:p>
            <w:pPr>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jc w:val="center"/>
              <w:rPr>
                <w:rFonts w:ascii="仿宋" w:hAnsi="仿宋" w:eastAsia="仿宋" w:cs="宋体"/>
                <w:bCs/>
                <w:color w:val="000000"/>
                <w:kern w:val="0"/>
                <w:sz w:val="24"/>
                <w:szCs w:val="24"/>
              </w:rPr>
            </w:pPr>
          </w:p>
        </w:tc>
        <w:tc>
          <w:tcPr>
            <w:tcW w:w="576" w:type="pct"/>
            <w:vMerge w:val="continue"/>
            <w:vAlign w:val="center"/>
          </w:tcPr>
          <w:p>
            <w:pPr>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5"/>
                <w:sz w:val="24"/>
                <w:szCs w:val="24"/>
              </w:rPr>
            </w:pPr>
            <w:r>
              <w:rPr>
                <w:rFonts w:hint="eastAsia" w:ascii="仿宋" w:hAnsi="仿宋" w:eastAsia="仿宋" w:cs="仿宋"/>
                <w:spacing w:val="4"/>
                <w:sz w:val="24"/>
                <w:szCs w:val="24"/>
              </w:rPr>
              <w:t>工程管理、工程造价</w:t>
            </w:r>
          </w:p>
        </w:tc>
        <w:tc>
          <w:tcPr>
            <w:tcW w:w="1384" w:type="pct"/>
            <w:vMerge w:val="continue"/>
            <w:vAlign w:val="center"/>
          </w:tcPr>
          <w:p>
            <w:pPr>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jc w:val="center"/>
              <w:rPr>
                <w:rFonts w:ascii="仿宋" w:hAnsi="仿宋" w:eastAsia="仿宋" w:cs="宋体"/>
                <w:color w:val="000000"/>
                <w:kern w:val="0"/>
                <w:sz w:val="24"/>
                <w:szCs w:val="24"/>
              </w:rPr>
            </w:pPr>
          </w:p>
        </w:tc>
        <w:tc>
          <w:tcPr>
            <w:tcW w:w="576" w:type="pct"/>
            <w:vMerge w:val="continue"/>
            <w:vAlign w:val="center"/>
          </w:tcPr>
          <w:p>
            <w:pPr>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6"/>
                <w:sz w:val="24"/>
                <w:szCs w:val="24"/>
              </w:rPr>
            </w:pPr>
            <w:r>
              <w:rPr>
                <w:rFonts w:hint="eastAsia" w:ascii="仿宋" w:hAnsi="仿宋" w:eastAsia="仿宋" w:cs="仿宋"/>
                <w:spacing w:val="6"/>
                <w:sz w:val="24"/>
                <w:szCs w:val="24"/>
              </w:rPr>
              <w:t>大数据科学与工程、大数据管理与应用</w:t>
            </w:r>
          </w:p>
        </w:tc>
        <w:tc>
          <w:tcPr>
            <w:tcW w:w="1384" w:type="pct"/>
            <w:vMerge w:val="continue"/>
            <w:vAlign w:val="center"/>
          </w:tcPr>
          <w:p>
            <w:pPr>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jc w:val="center"/>
              <w:rPr>
                <w:rFonts w:ascii="仿宋" w:hAnsi="仿宋" w:eastAsia="仿宋" w:cs="宋体"/>
                <w:color w:val="000000"/>
                <w:kern w:val="0"/>
                <w:sz w:val="24"/>
                <w:szCs w:val="24"/>
              </w:rPr>
            </w:pPr>
          </w:p>
        </w:tc>
        <w:tc>
          <w:tcPr>
            <w:tcW w:w="576" w:type="pct"/>
            <w:vMerge w:val="continue"/>
            <w:vAlign w:val="center"/>
          </w:tcPr>
          <w:p>
            <w:pPr>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6"/>
                <w:sz w:val="24"/>
                <w:szCs w:val="24"/>
              </w:rPr>
            </w:pPr>
            <w:r>
              <w:rPr>
                <w:rFonts w:hint="eastAsia" w:ascii="仿宋" w:hAnsi="仿宋" w:eastAsia="仿宋" w:cs="仿宋"/>
                <w:spacing w:val="6"/>
                <w:sz w:val="24"/>
                <w:szCs w:val="24"/>
              </w:rPr>
              <w:t>计算机科学与技术</w:t>
            </w:r>
          </w:p>
        </w:tc>
        <w:tc>
          <w:tcPr>
            <w:tcW w:w="1384" w:type="pct"/>
            <w:vMerge w:val="continue"/>
            <w:vAlign w:val="center"/>
          </w:tcPr>
          <w:p>
            <w:pPr>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widowControl/>
              <w:jc w:val="center"/>
              <w:rPr>
                <w:rFonts w:ascii="仿宋" w:hAnsi="仿宋" w:eastAsia="仿宋" w:cs="宋体"/>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7"/>
                <w:sz w:val="24"/>
                <w:szCs w:val="24"/>
              </w:rPr>
            </w:pPr>
            <w:r>
              <w:rPr>
                <w:rFonts w:hint="eastAsia" w:ascii="仿宋" w:hAnsi="仿宋" w:eastAsia="仿宋" w:cs="仿宋"/>
                <w:spacing w:val="6"/>
                <w:sz w:val="24"/>
                <w:szCs w:val="24"/>
              </w:rPr>
              <w:t>信息通信工程</w:t>
            </w:r>
          </w:p>
        </w:tc>
        <w:tc>
          <w:tcPr>
            <w:tcW w:w="1384" w:type="pct"/>
            <w:vMerge w:val="continue"/>
            <w:vAlign w:val="center"/>
          </w:tcPr>
          <w:p>
            <w:pPr>
              <w:widowControl/>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7"/>
                <w:sz w:val="24"/>
                <w:szCs w:val="24"/>
              </w:rPr>
            </w:pPr>
            <w:r>
              <w:rPr>
                <w:rFonts w:hint="eastAsia" w:ascii="仿宋" w:hAnsi="仿宋" w:eastAsia="仿宋" w:cs="仿宋"/>
                <w:spacing w:val="6"/>
                <w:sz w:val="24"/>
                <w:szCs w:val="24"/>
              </w:rPr>
              <w:t>网络空间安全</w:t>
            </w:r>
          </w:p>
        </w:tc>
        <w:tc>
          <w:tcPr>
            <w:tcW w:w="1384" w:type="pct"/>
            <w:vMerge w:val="continue"/>
            <w:vAlign w:val="center"/>
          </w:tcPr>
          <w:p>
            <w:pPr>
              <w:widowControl/>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6"/>
                <w:sz w:val="24"/>
                <w:szCs w:val="24"/>
              </w:rPr>
            </w:pPr>
            <w:r>
              <w:rPr>
                <w:rFonts w:hint="eastAsia" w:ascii="仿宋" w:hAnsi="仿宋" w:eastAsia="仿宋" w:cs="仿宋"/>
                <w:spacing w:val="6"/>
                <w:sz w:val="24"/>
                <w:szCs w:val="24"/>
              </w:rPr>
              <w:t>工商管理、企业管理</w:t>
            </w:r>
          </w:p>
        </w:tc>
        <w:tc>
          <w:tcPr>
            <w:tcW w:w="1384" w:type="pct"/>
            <w:vMerge w:val="continue"/>
            <w:vAlign w:val="center"/>
          </w:tcPr>
          <w:p>
            <w:pPr>
              <w:widowControl/>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6"/>
                <w:sz w:val="24"/>
                <w:szCs w:val="24"/>
              </w:rPr>
            </w:pPr>
            <w:r>
              <w:rPr>
                <w:rFonts w:hint="eastAsia" w:ascii="仿宋" w:hAnsi="仿宋" w:eastAsia="仿宋" w:cs="仿宋"/>
                <w:spacing w:val="6"/>
                <w:sz w:val="24"/>
                <w:szCs w:val="24"/>
              </w:rPr>
              <w:t>公共管理</w:t>
            </w:r>
          </w:p>
        </w:tc>
        <w:tc>
          <w:tcPr>
            <w:tcW w:w="1384" w:type="pct"/>
            <w:vMerge w:val="continue"/>
            <w:vAlign w:val="center"/>
          </w:tcPr>
          <w:p>
            <w:pPr>
              <w:widowControl/>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4"/>
                <w:sz w:val="24"/>
                <w:szCs w:val="24"/>
              </w:rPr>
            </w:pPr>
            <w:r>
              <w:rPr>
                <w:rFonts w:hint="eastAsia" w:ascii="仿宋" w:hAnsi="仿宋" w:eastAsia="仿宋" w:cs="仿宋"/>
                <w:spacing w:val="4"/>
                <w:sz w:val="24"/>
                <w:szCs w:val="24"/>
              </w:rPr>
              <w:t>管理科学与工程</w:t>
            </w:r>
          </w:p>
        </w:tc>
        <w:tc>
          <w:tcPr>
            <w:tcW w:w="1384" w:type="pct"/>
            <w:vMerge w:val="continue"/>
            <w:vAlign w:val="center"/>
          </w:tcPr>
          <w:p>
            <w:pPr>
              <w:widowControl/>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4"/>
                <w:sz w:val="24"/>
                <w:szCs w:val="24"/>
              </w:rPr>
            </w:pPr>
            <w:r>
              <w:rPr>
                <w:rFonts w:hint="eastAsia" w:ascii="仿宋" w:hAnsi="仿宋" w:eastAsia="仿宋" w:cs="仿宋"/>
                <w:spacing w:val="4"/>
                <w:sz w:val="24"/>
                <w:szCs w:val="24"/>
              </w:rPr>
              <w:t>会计学、财务管理、审计</w:t>
            </w:r>
          </w:p>
        </w:tc>
        <w:tc>
          <w:tcPr>
            <w:tcW w:w="1384" w:type="pct"/>
            <w:vMerge w:val="continue"/>
            <w:vAlign w:val="center"/>
          </w:tcPr>
          <w:p>
            <w:pPr>
              <w:widowControl/>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3"/>
                <w:sz w:val="24"/>
                <w:szCs w:val="24"/>
              </w:rPr>
            </w:pPr>
            <w:r>
              <w:rPr>
                <w:rFonts w:hint="eastAsia" w:ascii="仿宋" w:hAnsi="仿宋" w:eastAsia="仿宋" w:cs="仿宋"/>
                <w:spacing w:val="3"/>
                <w:sz w:val="24"/>
                <w:szCs w:val="24"/>
              </w:rPr>
              <w:t>设计艺术学（环境设计）</w:t>
            </w:r>
          </w:p>
        </w:tc>
        <w:tc>
          <w:tcPr>
            <w:tcW w:w="1384" w:type="pct"/>
            <w:vMerge w:val="continue"/>
            <w:vAlign w:val="center"/>
          </w:tcPr>
          <w:p>
            <w:pPr>
              <w:widowControl/>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3"/>
                <w:sz w:val="24"/>
                <w:szCs w:val="24"/>
              </w:rPr>
            </w:pPr>
            <w:r>
              <w:rPr>
                <w:rFonts w:hint="eastAsia" w:ascii="仿宋" w:hAnsi="仿宋" w:eastAsia="仿宋" w:cs="仿宋"/>
                <w:spacing w:val="3"/>
                <w:sz w:val="24"/>
                <w:szCs w:val="24"/>
              </w:rPr>
              <w:t>数学、应用统计</w:t>
            </w:r>
          </w:p>
        </w:tc>
        <w:tc>
          <w:tcPr>
            <w:tcW w:w="1384" w:type="pct"/>
            <w:vMerge w:val="continue"/>
            <w:vAlign w:val="center"/>
          </w:tcPr>
          <w:p>
            <w:pPr>
              <w:widowControl/>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3"/>
                <w:sz w:val="24"/>
                <w:szCs w:val="24"/>
              </w:rPr>
            </w:pPr>
            <w:r>
              <w:rPr>
                <w:rFonts w:hint="eastAsia" w:ascii="仿宋" w:hAnsi="仿宋" w:eastAsia="仿宋" w:cs="仿宋"/>
                <w:spacing w:val="3"/>
                <w:sz w:val="24"/>
                <w:szCs w:val="24"/>
              </w:rPr>
              <w:t>英语语言文学（英语口译）</w:t>
            </w:r>
          </w:p>
        </w:tc>
        <w:tc>
          <w:tcPr>
            <w:tcW w:w="1384" w:type="pct"/>
            <w:vMerge w:val="continue"/>
            <w:vAlign w:val="center"/>
          </w:tcPr>
          <w:p>
            <w:pPr>
              <w:widowControl/>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3"/>
                <w:sz w:val="24"/>
                <w:szCs w:val="24"/>
              </w:rPr>
            </w:pPr>
            <w:r>
              <w:rPr>
                <w:rFonts w:hint="eastAsia" w:ascii="仿宋" w:hAnsi="仿宋" w:eastAsia="仿宋" w:cs="仿宋"/>
                <w:spacing w:val="3"/>
                <w:sz w:val="24"/>
                <w:szCs w:val="24"/>
              </w:rPr>
              <w:t>中国语言文学</w:t>
            </w:r>
          </w:p>
        </w:tc>
        <w:tc>
          <w:tcPr>
            <w:tcW w:w="1384" w:type="pct"/>
            <w:vMerge w:val="continue"/>
            <w:vAlign w:val="center"/>
          </w:tcPr>
          <w:p>
            <w:pPr>
              <w:widowControl/>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2" w:type="pct"/>
            <w:vMerge w:val="continue"/>
            <w:vAlign w:val="center"/>
          </w:tcPr>
          <w:p>
            <w:pPr>
              <w:widowControl/>
              <w:jc w:val="center"/>
              <w:rPr>
                <w:rFonts w:ascii="仿宋" w:hAnsi="仿宋" w:eastAsia="仿宋" w:cs="宋体"/>
                <w:bCs/>
                <w:color w:val="000000"/>
                <w:kern w:val="0"/>
                <w:sz w:val="24"/>
                <w:szCs w:val="24"/>
              </w:rPr>
            </w:pPr>
          </w:p>
        </w:tc>
        <w:tc>
          <w:tcPr>
            <w:tcW w:w="576" w:type="pct"/>
            <w:vMerge w:val="continue"/>
            <w:vAlign w:val="center"/>
          </w:tcPr>
          <w:p>
            <w:pPr>
              <w:widowControl/>
              <w:jc w:val="center"/>
              <w:rPr>
                <w:rFonts w:ascii="仿宋" w:hAnsi="仿宋" w:eastAsia="仿宋" w:cs="宋体"/>
                <w:color w:val="000000"/>
                <w:kern w:val="0"/>
                <w:sz w:val="24"/>
                <w:szCs w:val="24"/>
              </w:rPr>
            </w:pPr>
          </w:p>
        </w:tc>
        <w:tc>
          <w:tcPr>
            <w:tcW w:w="2618" w:type="pct"/>
            <w:vAlign w:val="center"/>
          </w:tcPr>
          <w:p>
            <w:pPr>
              <w:widowControl/>
              <w:jc w:val="left"/>
              <w:rPr>
                <w:rFonts w:ascii="仿宋" w:hAnsi="仿宋" w:eastAsia="仿宋" w:cs="仿宋"/>
                <w:spacing w:val="3"/>
                <w:sz w:val="24"/>
                <w:szCs w:val="24"/>
              </w:rPr>
            </w:pPr>
            <w:r>
              <w:rPr>
                <w:rFonts w:hint="eastAsia" w:ascii="仿宋" w:hAnsi="仿宋" w:eastAsia="仿宋" w:cs="仿宋"/>
                <w:spacing w:val="3"/>
                <w:sz w:val="24"/>
                <w:szCs w:val="24"/>
              </w:rPr>
              <w:t>体育（小球类/武术）</w:t>
            </w:r>
          </w:p>
        </w:tc>
        <w:tc>
          <w:tcPr>
            <w:tcW w:w="1384" w:type="pct"/>
            <w:vMerge w:val="continue"/>
            <w:vAlign w:val="center"/>
          </w:tcPr>
          <w:p>
            <w:pPr>
              <w:widowControl/>
              <w:jc w:val="center"/>
              <w:rPr>
                <w:rFonts w:ascii="仿宋" w:hAnsi="仿宋" w:eastAsia="仿宋"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trPr>
        <w:tc>
          <w:tcPr>
            <w:tcW w:w="422" w:type="pc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辅</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导</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员</w:t>
            </w:r>
          </w:p>
        </w:tc>
        <w:tc>
          <w:tcPr>
            <w:tcW w:w="576" w:type="pc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硕士研究生</w:t>
            </w:r>
          </w:p>
        </w:tc>
        <w:tc>
          <w:tcPr>
            <w:tcW w:w="2618" w:type="pct"/>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所学专业与我校开设专业相关或一致； </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教育学、心理学、思想政治教育、中国语言文学、管理学等专业优先。</w:t>
            </w:r>
          </w:p>
        </w:tc>
        <w:tc>
          <w:tcPr>
            <w:tcW w:w="1384" w:type="pct"/>
            <w:vAlign w:val="center"/>
          </w:tcPr>
          <w:p>
            <w:pPr>
              <w:widowControl/>
              <w:numPr>
                <w:ilvl w:val="0"/>
                <w:numId w:val="1"/>
              </w:num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中共党员（含中共预备党员）；                                      </w:t>
            </w:r>
            <w:r>
              <w:rPr>
                <w:rFonts w:hint="eastAsia" w:ascii="仿宋" w:hAnsi="仿宋" w:eastAsia="仿宋" w:cs="宋体"/>
                <w:color w:val="000000"/>
                <w:kern w:val="0"/>
                <w:sz w:val="24"/>
                <w:szCs w:val="24"/>
              </w:rPr>
              <w:br w:type="textWrapping"/>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.具备C</w:t>
            </w:r>
            <w:r>
              <w:rPr>
                <w:rFonts w:ascii="仿宋" w:hAnsi="仿宋" w:eastAsia="仿宋" w:cs="宋体"/>
                <w:color w:val="000000"/>
                <w:kern w:val="0"/>
                <w:sz w:val="24"/>
                <w:szCs w:val="24"/>
              </w:rPr>
              <w:t>ET4</w:t>
            </w:r>
            <w:r>
              <w:rPr>
                <w:rFonts w:hint="eastAsia" w:ascii="仿宋" w:hAnsi="仿宋" w:eastAsia="仿宋" w:cs="宋体"/>
                <w:color w:val="000000"/>
                <w:kern w:val="0"/>
                <w:sz w:val="24"/>
                <w:szCs w:val="24"/>
              </w:rPr>
              <w:t>，N</w:t>
            </w:r>
            <w:r>
              <w:rPr>
                <w:rFonts w:ascii="仿宋" w:hAnsi="仿宋" w:eastAsia="仿宋" w:cs="宋体"/>
                <w:color w:val="000000"/>
                <w:kern w:val="0"/>
                <w:sz w:val="24"/>
                <w:szCs w:val="24"/>
              </w:rPr>
              <w:t>CRE</w:t>
            </w:r>
            <w:r>
              <w:rPr>
                <w:rFonts w:hint="eastAsia" w:ascii="仿宋" w:hAnsi="仿宋" w:eastAsia="仿宋" w:cs="宋体"/>
                <w:color w:val="000000"/>
                <w:kern w:val="0"/>
                <w:sz w:val="24"/>
                <w:szCs w:val="24"/>
              </w:rPr>
              <w:t>二级及以上资格证书者优先；</w:t>
            </w:r>
          </w:p>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.具有学生会、社团等学生干部经历者优先.</w:t>
            </w:r>
          </w:p>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.具有5年及以上企业管理经验或3年及以上高校辅导员工作经验者可放宽学历；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422" w:type="pc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行</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政</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管</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w:t>
            </w:r>
          </w:p>
        </w:tc>
        <w:tc>
          <w:tcPr>
            <w:tcW w:w="576" w:type="pc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硕士研究生</w:t>
            </w:r>
          </w:p>
        </w:tc>
        <w:tc>
          <w:tcPr>
            <w:tcW w:w="2618" w:type="pct"/>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行政管理、企业管理、教育学、教育技术学、</w:t>
            </w:r>
          </w:p>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心理学、思想政治教育、中国语言文学、新闻学相关专业</w:t>
            </w:r>
          </w:p>
        </w:tc>
        <w:tc>
          <w:tcPr>
            <w:tcW w:w="1384" w:type="pct"/>
            <w:vAlign w:val="center"/>
          </w:tcPr>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具备公文写作、办公软件操作能力者优先；</w:t>
            </w:r>
          </w:p>
          <w:p>
            <w:pPr>
              <w:widowControl/>
              <w:tabs>
                <w:tab w:val="left" w:pos="312"/>
              </w:tabs>
              <w:jc w:val="left"/>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具有学生会、社团等学生干部经历者优先；</w:t>
            </w:r>
          </w:p>
          <w:p>
            <w:pPr>
              <w:widowControl/>
              <w:tabs>
                <w:tab w:val="left" w:pos="312"/>
              </w:tabs>
              <w:jc w:val="left"/>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具有5年及以上企业、高校管理工作经验者可放宽学历。</w:t>
            </w:r>
          </w:p>
          <w:p>
            <w:pPr>
              <w:widowControl/>
              <w:tabs>
                <w:tab w:val="left" w:pos="312"/>
              </w:tabs>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422" w:type="pc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教学秘书</w:t>
            </w:r>
          </w:p>
        </w:tc>
        <w:tc>
          <w:tcPr>
            <w:tcW w:w="576" w:type="pc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2618" w:type="pct"/>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教育学、管理学、经济学、工学、语言学相关专业优先</w:t>
            </w:r>
          </w:p>
        </w:tc>
        <w:tc>
          <w:tcPr>
            <w:tcW w:w="1384" w:type="pct"/>
            <w:vAlign w:val="center"/>
          </w:tcPr>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须具备3年及以上行政管理工作经验</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具备公文写作、办公软件操作能力者优先；</w:t>
            </w:r>
          </w:p>
          <w:p>
            <w:pPr>
              <w:widowControl/>
              <w:tabs>
                <w:tab w:val="left" w:pos="312"/>
              </w:tabs>
              <w:jc w:val="left"/>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具有学生会、社团等学生干部经历者优先；</w:t>
            </w:r>
          </w:p>
          <w:p>
            <w:pPr>
              <w:rPr>
                <w:rFonts w:ascii="仿宋" w:hAnsi="仿宋" w:eastAsia="仿宋" w:cs="宋体"/>
                <w:sz w:val="24"/>
                <w:szCs w:val="24"/>
              </w:rPr>
            </w:pP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具备组织沟通能力、合作协作能力。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422" w:type="pc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资产管理</w:t>
            </w:r>
          </w:p>
        </w:tc>
        <w:tc>
          <w:tcPr>
            <w:tcW w:w="576" w:type="pc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2618" w:type="pct"/>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经济学、管理学、工程管理、土木工程等专业优先</w:t>
            </w:r>
          </w:p>
        </w:tc>
        <w:tc>
          <w:tcPr>
            <w:tcW w:w="1384" w:type="pct"/>
            <w:vAlign w:val="center"/>
          </w:tcPr>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须具备3年及以上行政管理或物资采购、管理工作经验；</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具有较强的办公软件操作能力；</w:t>
            </w:r>
          </w:p>
          <w:p>
            <w:pPr>
              <w:widowControl/>
              <w:tabs>
                <w:tab w:val="left" w:pos="312"/>
              </w:tabs>
              <w:jc w:val="left"/>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 xml:space="preserve"> 具备较强的组织沟通能力、合作协作能力；</w:t>
            </w:r>
          </w:p>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 xml:space="preserve">4. </w:t>
            </w:r>
            <w:r>
              <w:rPr>
                <w:rFonts w:hint="eastAsia" w:ascii="仿宋" w:hAnsi="仿宋" w:eastAsia="仿宋" w:cs="宋体"/>
                <w:color w:val="000000"/>
                <w:kern w:val="0"/>
                <w:sz w:val="24"/>
                <w:szCs w:val="24"/>
              </w:rPr>
              <w:t>具有学生会、社团等学生干部经历者优先；</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r>
              <w:rPr>
                <w:rFonts w:ascii="仿宋" w:hAnsi="仿宋" w:eastAsia="仿宋" w:cs="宋体"/>
                <w:color w:val="000000"/>
                <w:kern w:val="0"/>
                <w:sz w:val="24"/>
                <w:szCs w:val="24"/>
              </w:rPr>
              <w:t>.家住</w:t>
            </w:r>
            <w:r>
              <w:rPr>
                <w:rFonts w:hint="eastAsia" w:ascii="仿宋" w:hAnsi="仿宋" w:eastAsia="仿宋" w:cs="宋体"/>
                <w:color w:val="000000"/>
                <w:kern w:val="0"/>
                <w:sz w:val="24"/>
                <w:szCs w:val="24"/>
              </w:rPr>
              <w:t>榆中县</w:t>
            </w:r>
            <w:r>
              <w:rPr>
                <w:rFonts w:ascii="仿宋" w:hAnsi="仿宋" w:eastAsia="仿宋" w:cs="宋体"/>
                <w:color w:val="000000"/>
                <w:kern w:val="0"/>
                <w:sz w:val="24"/>
                <w:szCs w:val="24"/>
              </w:rPr>
              <w:t>和平镇</w:t>
            </w:r>
            <w:r>
              <w:rPr>
                <w:rFonts w:hint="eastAsia" w:ascii="仿宋" w:hAnsi="仿宋" w:eastAsia="仿宋" w:cs="宋体"/>
                <w:color w:val="000000"/>
                <w:kern w:val="0"/>
                <w:sz w:val="24"/>
                <w:szCs w:val="24"/>
              </w:rPr>
              <w:t>附近</w:t>
            </w:r>
            <w:r>
              <w:rPr>
                <w:rFonts w:ascii="仿宋" w:hAnsi="仿宋" w:eastAsia="仿宋" w:cs="宋体"/>
                <w:color w:val="000000"/>
                <w:kern w:val="0"/>
                <w:sz w:val="24"/>
                <w:szCs w:val="24"/>
              </w:rPr>
              <w:t>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422" w:type="pc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食品安全</w:t>
            </w:r>
          </w:p>
        </w:tc>
        <w:tc>
          <w:tcPr>
            <w:tcW w:w="576" w:type="pc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2618" w:type="pct"/>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食品安全、食品工程相关专业</w:t>
            </w:r>
          </w:p>
        </w:tc>
        <w:tc>
          <w:tcPr>
            <w:tcW w:w="1384" w:type="pct"/>
            <w:vAlign w:val="center"/>
          </w:tcPr>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专业知识扎实，在校期间成绩优良；</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具有一定的办公软件操作能力；</w:t>
            </w:r>
          </w:p>
          <w:p>
            <w:pPr>
              <w:widowControl/>
              <w:tabs>
                <w:tab w:val="left" w:pos="312"/>
              </w:tabs>
              <w:jc w:val="left"/>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责任心强、工作认真负责、服从安排；</w:t>
            </w:r>
          </w:p>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具有3年及以上食堂经营或管理经验者优先；</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r>
              <w:rPr>
                <w:rFonts w:ascii="仿宋" w:hAnsi="仿宋" w:eastAsia="仿宋" w:cs="宋体"/>
                <w:color w:val="000000"/>
                <w:kern w:val="0"/>
                <w:sz w:val="24"/>
                <w:szCs w:val="24"/>
              </w:rPr>
              <w:t>.家住</w:t>
            </w:r>
            <w:r>
              <w:rPr>
                <w:rFonts w:hint="eastAsia" w:ascii="仿宋" w:hAnsi="仿宋" w:eastAsia="仿宋" w:cs="宋体"/>
                <w:color w:val="000000"/>
                <w:kern w:val="0"/>
                <w:sz w:val="24"/>
                <w:szCs w:val="24"/>
              </w:rPr>
              <w:t>榆中县</w:t>
            </w:r>
            <w:r>
              <w:rPr>
                <w:rFonts w:ascii="仿宋" w:hAnsi="仿宋" w:eastAsia="仿宋" w:cs="宋体"/>
                <w:color w:val="000000"/>
                <w:kern w:val="0"/>
                <w:sz w:val="24"/>
                <w:szCs w:val="24"/>
              </w:rPr>
              <w:t>和平镇</w:t>
            </w:r>
            <w:r>
              <w:rPr>
                <w:rFonts w:hint="eastAsia" w:ascii="仿宋" w:hAnsi="仿宋" w:eastAsia="仿宋" w:cs="宋体"/>
                <w:color w:val="000000"/>
                <w:kern w:val="0"/>
                <w:sz w:val="24"/>
                <w:szCs w:val="24"/>
              </w:rPr>
              <w:t>附近</w:t>
            </w:r>
            <w:r>
              <w:rPr>
                <w:rFonts w:ascii="仿宋" w:hAnsi="仿宋" w:eastAsia="仿宋" w:cs="宋体"/>
                <w:color w:val="000000"/>
                <w:kern w:val="0"/>
                <w:sz w:val="24"/>
                <w:szCs w:val="24"/>
              </w:rPr>
              <w:t>者优先。</w:t>
            </w:r>
          </w:p>
        </w:tc>
      </w:tr>
    </w:tbl>
    <w:p>
      <w:pPr>
        <w:widowControl/>
        <w:spacing w:line="600" w:lineRule="exact"/>
        <w:jc w:val="left"/>
        <w:rPr>
          <w:rFonts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hint="eastAsia" w:ascii="仿宋" w:hAnsi="仿宋" w:eastAsia="仿宋" w:cs="宋体"/>
          <w:color w:val="000000"/>
          <w:kern w:val="0"/>
          <w:sz w:val="28"/>
          <w:szCs w:val="28"/>
        </w:rPr>
      </w:pPr>
    </w:p>
    <w:p>
      <w:pPr>
        <w:widowControl/>
        <w:spacing w:line="600" w:lineRule="exact"/>
        <w:jc w:val="left"/>
        <w:rPr>
          <w:rFonts w:ascii="仿宋" w:hAnsi="仿宋" w:eastAsia="仿宋" w:cs="宋体"/>
          <w:color w:val="000000"/>
          <w:kern w:val="0"/>
          <w:sz w:val="28"/>
          <w:szCs w:val="28"/>
        </w:rPr>
      </w:pPr>
    </w:p>
    <w:sectPr>
      <w:pgSz w:w="11906" w:h="16838"/>
      <w:pgMar w:top="1134" w:right="1133" w:bottom="993" w:left="1276" w:header="624" w:footer="397"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13C0E"/>
    <w:multiLevelType w:val="singleLevel"/>
    <w:tmpl w:val="3BD13C0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MmM0NTRiOGMzYjk0OTA0NGJjNjlkYjY3YWE0MWIifQ=="/>
  </w:docVars>
  <w:rsids>
    <w:rsidRoot w:val="00CF236D"/>
    <w:rsid w:val="00006B1A"/>
    <w:rsid w:val="0001499A"/>
    <w:rsid w:val="0004240D"/>
    <w:rsid w:val="000424AC"/>
    <w:rsid w:val="00044C4E"/>
    <w:rsid w:val="0006436B"/>
    <w:rsid w:val="00072FEA"/>
    <w:rsid w:val="00090B6B"/>
    <w:rsid w:val="000B0A81"/>
    <w:rsid w:val="000B5F55"/>
    <w:rsid w:val="000C0B86"/>
    <w:rsid w:val="000D0CF8"/>
    <w:rsid w:val="000D2B1E"/>
    <w:rsid w:val="000E5C1B"/>
    <w:rsid w:val="000E7226"/>
    <w:rsid w:val="000F3DB4"/>
    <w:rsid w:val="000F3E47"/>
    <w:rsid w:val="000F731E"/>
    <w:rsid w:val="00107B2D"/>
    <w:rsid w:val="0011349E"/>
    <w:rsid w:val="0012283E"/>
    <w:rsid w:val="00123922"/>
    <w:rsid w:val="001242FC"/>
    <w:rsid w:val="00131FB7"/>
    <w:rsid w:val="001322B2"/>
    <w:rsid w:val="0013389C"/>
    <w:rsid w:val="001366EF"/>
    <w:rsid w:val="00140EB7"/>
    <w:rsid w:val="0016745E"/>
    <w:rsid w:val="00170E78"/>
    <w:rsid w:val="00176A88"/>
    <w:rsid w:val="001B0156"/>
    <w:rsid w:val="001C1621"/>
    <w:rsid w:val="001D2895"/>
    <w:rsid w:val="001E4B57"/>
    <w:rsid w:val="001F3940"/>
    <w:rsid w:val="001F6E85"/>
    <w:rsid w:val="00206A45"/>
    <w:rsid w:val="00260AED"/>
    <w:rsid w:val="002634D8"/>
    <w:rsid w:val="002664DD"/>
    <w:rsid w:val="00293D35"/>
    <w:rsid w:val="002A1C22"/>
    <w:rsid w:val="002A233B"/>
    <w:rsid w:val="002A34F9"/>
    <w:rsid w:val="002B17F3"/>
    <w:rsid w:val="002C43AA"/>
    <w:rsid w:val="0030234C"/>
    <w:rsid w:val="00307F89"/>
    <w:rsid w:val="00322A2A"/>
    <w:rsid w:val="003551A3"/>
    <w:rsid w:val="003622C0"/>
    <w:rsid w:val="00367A26"/>
    <w:rsid w:val="00370975"/>
    <w:rsid w:val="00383C1D"/>
    <w:rsid w:val="003B26BE"/>
    <w:rsid w:val="003B2AA0"/>
    <w:rsid w:val="003B6336"/>
    <w:rsid w:val="003C5609"/>
    <w:rsid w:val="003D05D5"/>
    <w:rsid w:val="003D23B8"/>
    <w:rsid w:val="003D5767"/>
    <w:rsid w:val="003D586D"/>
    <w:rsid w:val="003F45A9"/>
    <w:rsid w:val="004028F1"/>
    <w:rsid w:val="00432095"/>
    <w:rsid w:val="00443F00"/>
    <w:rsid w:val="00467BF5"/>
    <w:rsid w:val="00473175"/>
    <w:rsid w:val="00475073"/>
    <w:rsid w:val="00484724"/>
    <w:rsid w:val="004868C4"/>
    <w:rsid w:val="00496ED1"/>
    <w:rsid w:val="00497D5F"/>
    <w:rsid w:val="004A2E5D"/>
    <w:rsid w:val="004A4CCF"/>
    <w:rsid w:val="004B41EE"/>
    <w:rsid w:val="004C21BC"/>
    <w:rsid w:val="004C40C3"/>
    <w:rsid w:val="004D4106"/>
    <w:rsid w:val="004D48AB"/>
    <w:rsid w:val="004D5317"/>
    <w:rsid w:val="004E4607"/>
    <w:rsid w:val="004F5954"/>
    <w:rsid w:val="00503911"/>
    <w:rsid w:val="0051074B"/>
    <w:rsid w:val="005178EC"/>
    <w:rsid w:val="0053553F"/>
    <w:rsid w:val="00543006"/>
    <w:rsid w:val="005447BE"/>
    <w:rsid w:val="00557108"/>
    <w:rsid w:val="0056194D"/>
    <w:rsid w:val="00574A44"/>
    <w:rsid w:val="00576E43"/>
    <w:rsid w:val="00583308"/>
    <w:rsid w:val="005967A6"/>
    <w:rsid w:val="005B2A81"/>
    <w:rsid w:val="005B3FA5"/>
    <w:rsid w:val="005C25B8"/>
    <w:rsid w:val="005C5941"/>
    <w:rsid w:val="00605265"/>
    <w:rsid w:val="00626577"/>
    <w:rsid w:val="00627DC7"/>
    <w:rsid w:val="00634459"/>
    <w:rsid w:val="00651A46"/>
    <w:rsid w:val="00656660"/>
    <w:rsid w:val="0066525E"/>
    <w:rsid w:val="00676860"/>
    <w:rsid w:val="00676CC4"/>
    <w:rsid w:val="0068580C"/>
    <w:rsid w:val="006916DD"/>
    <w:rsid w:val="00696BA3"/>
    <w:rsid w:val="006C50FD"/>
    <w:rsid w:val="006D17F0"/>
    <w:rsid w:val="006E5980"/>
    <w:rsid w:val="006F0F06"/>
    <w:rsid w:val="006F6EB1"/>
    <w:rsid w:val="007109E1"/>
    <w:rsid w:val="00710A00"/>
    <w:rsid w:val="00711679"/>
    <w:rsid w:val="00722408"/>
    <w:rsid w:val="007365A3"/>
    <w:rsid w:val="00740202"/>
    <w:rsid w:val="007538C9"/>
    <w:rsid w:val="00764DDA"/>
    <w:rsid w:val="007A0864"/>
    <w:rsid w:val="007B2690"/>
    <w:rsid w:val="007C4005"/>
    <w:rsid w:val="007C6EED"/>
    <w:rsid w:val="007D56FE"/>
    <w:rsid w:val="007E2649"/>
    <w:rsid w:val="008016D4"/>
    <w:rsid w:val="00836E37"/>
    <w:rsid w:val="00837F91"/>
    <w:rsid w:val="00844C40"/>
    <w:rsid w:val="00846209"/>
    <w:rsid w:val="00891773"/>
    <w:rsid w:val="008A4D1F"/>
    <w:rsid w:val="008A56C5"/>
    <w:rsid w:val="008A72DD"/>
    <w:rsid w:val="008C1F55"/>
    <w:rsid w:val="008C2D3D"/>
    <w:rsid w:val="008D5519"/>
    <w:rsid w:val="008D7D09"/>
    <w:rsid w:val="008E45D2"/>
    <w:rsid w:val="008F01D6"/>
    <w:rsid w:val="008F3955"/>
    <w:rsid w:val="009009BA"/>
    <w:rsid w:val="00923E69"/>
    <w:rsid w:val="00930316"/>
    <w:rsid w:val="00933E31"/>
    <w:rsid w:val="00934B26"/>
    <w:rsid w:val="0093603A"/>
    <w:rsid w:val="00937B60"/>
    <w:rsid w:val="00996E11"/>
    <w:rsid w:val="009A5A37"/>
    <w:rsid w:val="009B365D"/>
    <w:rsid w:val="009C0B7A"/>
    <w:rsid w:val="009C73F7"/>
    <w:rsid w:val="009C7416"/>
    <w:rsid w:val="009C7461"/>
    <w:rsid w:val="009D5247"/>
    <w:rsid w:val="00A070CE"/>
    <w:rsid w:val="00A075A8"/>
    <w:rsid w:val="00A16839"/>
    <w:rsid w:val="00A345A4"/>
    <w:rsid w:val="00A50C1C"/>
    <w:rsid w:val="00A52A23"/>
    <w:rsid w:val="00A544D5"/>
    <w:rsid w:val="00A71841"/>
    <w:rsid w:val="00A923B6"/>
    <w:rsid w:val="00AA0146"/>
    <w:rsid w:val="00AA2131"/>
    <w:rsid w:val="00AD7D2C"/>
    <w:rsid w:val="00AE152E"/>
    <w:rsid w:val="00AF1A12"/>
    <w:rsid w:val="00B12319"/>
    <w:rsid w:val="00B128DF"/>
    <w:rsid w:val="00B16EA5"/>
    <w:rsid w:val="00B220BB"/>
    <w:rsid w:val="00B361D9"/>
    <w:rsid w:val="00B52169"/>
    <w:rsid w:val="00B558A7"/>
    <w:rsid w:val="00B57DEC"/>
    <w:rsid w:val="00B91922"/>
    <w:rsid w:val="00B92CE9"/>
    <w:rsid w:val="00BA5AC5"/>
    <w:rsid w:val="00BC111A"/>
    <w:rsid w:val="00BC73A7"/>
    <w:rsid w:val="00BE5F32"/>
    <w:rsid w:val="00C02D42"/>
    <w:rsid w:val="00C05E3C"/>
    <w:rsid w:val="00C06297"/>
    <w:rsid w:val="00C154E4"/>
    <w:rsid w:val="00C16CE5"/>
    <w:rsid w:val="00C343C5"/>
    <w:rsid w:val="00C35765"/>
    <w:rsid w:val="00C36F29"/>
    <w:rsid w:val="00C40748"/>
    <w:rsid w:val="00C47599"/>
    <w:rsid w:val="00C57BB1"/>
    <w:rsid w:val="00C604E7"/>
    <w:rsid w:val="00C67D0D"/>
    <w:rsid w:val="00C730FB"/>
    <w:rsid w:val="00C760EF"/>
    <w:rsid w:val="00C84A63"/>
    <w:rsid w:val="00C86C04"/>
    <w:rsid w:val="00CB3C62"/>
    <w:rsid w:val="00CB5708"/>
    <w:rsid w:val="00CC33ED"/>
    <w:rsid w:val="00CD328F"/>
    <w:rsid w:val="00CF236D"/>
    <w:rsid w:val="00D156CA"/>
    <w:rsid w:val="00D167FF"/>
    <w:rsid w:val="00D261C3"/>
    <w:rsid w:val="00D52900"/>
    <w:rsid w:val="00D75FFF"/>
    <w:rsid w:val="00D778F1"/>
    <w:rsid w:val="00D854AD"/>
    <w:rsid w:val="00DC1117"/>
    <w:rsid w:val="00DC5C7A"/>
    <w:rsid w:val="00DE1C7B"/>
    <w:rsid w:val="00E0457B"/>
    <w:rsid w:val="00E10F31"/>
    <w:rsid w:val="00E30C6D"/>
    <w:rsid w:val="00E37421"/>
    <w:rsid w:val="00E54D48"/>
    <w:rsid w:val="00E55B79"/>
    <w:rsid w:val="00E761DB"/>
    <w:rsid w:val="00E76A30"/>
    <w:rsid w:val="00E9423E"/>
    <w:rsid w:val="00ED1F9A"/>
    <w:rsid w:val="00EE2E17"/>
    <w:rsid w:val="00F00451"/>
    <w:rsid w:val="00F031B2"/>
    <w:rsid w:val="00F04C6F"/>
    <w:rsid w:val="00F14F77"/>
    <w:rsid w:val="00F15BF1"/>
    <w:rsid w:val="00F162C1"/>
    <w:rsid w:val="00F31C46"/>
    <w:rsid w:val="00F52701"/>
    <w:rsid w:val="00F7543D"/>
    <w:rsid w:val="00F9064C"/>
    <w:rsid w:val="00F97367"/>
    <w:rsid w:val="00FA67BF"/>
    <w:rsid w:val="00FC09C9"/>
    <w:rsid w:val="00FC107F"/>
    <w:rsid w:val="00FD7892"/>
    <w:rsid w:val="00FE2C47"/>
    <w:rsid w:val="00FF7602"/>
    <w:rsid w:val="01A23495"/>
    <w:rsid w:val="040068FA"/>
    <w:rsid w:val="0A8D43B8"/>
    <w:rsid w:val="1B3140E7"/>
    <w:rsid w:val="24AD408F"/>
    <w:rsid w:val="291C62BF"/>
    <w:rsid w:val="2D390CDB"/>
    <w:rsid w:val="2E242AC5"/>
    <w:rsid w:val="2F44656E"/>
    <w:rsid w:val="303003E9"/>
    <w:rsid w:val="307420AD"/>
    <w:rsid w:val="3A895E02"/>
    <w:rsid w:val="44BA53C1"/>
    <w:rsid w:val="5DBF00AA"/>
    <w:rsid w:val="6493026E"/>
    <w:rsid w:val="67BF4478"/>
    <w:rsid w:val="6A9E5B08"/>
    <w:rsid w:val="6AD85384"/>
    <w:rsid w:val="6B340855"/>
    <w:rsid w:val="6BF839A0"/>
    <w:rsid w:val="6E3147E1"/>
    <w:rsid w:val="6ECB6854"/>
    <w:rsid w:val="754A3B44"/>
    <w:rsid w:val="7A6D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rPr>
      <w:kern w:val="2"/>
      <w:sz w:val="21"/>
      <w:szCs w:val="22"/>
    </w:rPr>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2807</Words>
  <Characters>2928</Characters>
  <Lines>22</Lines>
  <Paragraphs>6</Paragraphs>
  <TotalTime>85</TotalTime>
  <ScaleCrop>false</ScaleCrop>
  <LinksUpToDate>false</LinksUpToDate>
  <CharactersWithSpaces>2981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2023-07-21T06:49:00Z</dcterms:created>
  <dc:creator>AutoBVT</dc:creator>
  <cp:lastModifiedBy>阿东</cp:lastModifiedBy>
  <cp:lastPrinted>2023-07-21T04:11:00Z</cp:lastPrinted>
  <dcterms:modified xsi:type="dcterms:W3CDTF">2023-07-24T07:19:36Z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36DA9A0104FB47ACB7B030E03F79C798_13</vt:lpwstr>
  </property>
</Properties>
</file>