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2023年招聘岗位表</w:t>
      </w:r>
    </w:p>
    <w:tbl>
      <w:tblPr>
        <w:tblStyle w:val="6"/>
        <w:tblpPr w:leftFromText="180" w:rightFromText="180" w:vertAnchor="text" w:horzAnchor="page" w:tblpX="1875" w:tblpY="6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759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招聘科室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妇科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临床医学专业、专科及以上学历、女性。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临床医学专业、专科及以上学历、女性。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临床医学专业、专科及以上学历。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儿科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临床医学专业、本科及以上学历。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眼科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临床医学专业、视光医学专业，专科及以上学历。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药房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药学专业、专科及以上学历或已取得药师执业证书。其中：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西药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、中药各1人。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临床检验专业、专科及以上学历。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超声科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影像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专业、本科及以上学历。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康复科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康复医学专业或临床医学专业、专科及以上学历。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信息科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计算机专业，本科及以上学历。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宣传科</w:t>
            </w:r>
          </w:p>
        </w:tc>
        <w:tc>
          <w:tcPr>
            <w:tcW w:w="1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0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市场营销专业，本科及以上学历，3年以上营销经历，招录1人。市场营销专业，专科及以上学历，招录2人。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" w:firstLineChars="200"/>
        <w:textAlignment w:val="auto"/>
        <w:rPr>
          <w:rFonts w:hint="eastAsia" w:ascii="仿宋" w:hAnsi="仿宋" w:eastAsia="仿宋" w:cs="仿宋"/>
          <w:color w:val="auto"/>
          <w:sz w:val="8"/>
          <w:szCs w:val="8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MTk5YWZjY2IwODk3YTU0ZTE1ZjJkNDQyMjE3NjAifQ=="/>
  </w:docVars>
  <w:rsids>
    <w:rsidRoot w:val="7384337A"/>
    <w:rsid w:val="0D5D1FFB"/>
    <w:rsid w:val="0D5D6AC1"/>
    <w:rsid w:val="1AEF6A73"/>
    <w:rsid w:val="25A56D28"/>
    <w:rsid w:val="2E415ED7"/>
    <w:rsid w:val="5B353EF2"/>
    <w:rsid w:val="64D21BE7"/>
    <w:rsid w:val="668C23E3"/>
    <w:rsid w:val="6D4F5AC7"/>
    <w:rsid w:val="7384337A"/>
    <w:rsid w:val="7DFE2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2728</Words>
  <Characters>2850</Characters>
  <Lines>0</Lines>
  <Paragraphs>0</Paragraphs>
  <TotalTime>0</TotalTime>
  <ScaleCrop>false</ScaleCrop>
  <LinksUpToDate>false</LinksUpToDate>
  <CharactersWithSpaces>2886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2023-06-20T22:49:00Z</dcterms:created>
  <dc:creator>陈凤翠</dc:creator>
  <cp:lastModifiedBy>rmzf13</cp:lastModifiedBy>
  <dcterms:modified xsi:type="dcterms:W3CDTF">2023-06-27T10:29:52Z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EAA2D73C53584AFAB17E35CFCD61573F_13</vt:lpwstr>
  </property>
</Properties>
</file>