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: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自治区事业单位面向社会公开招聘工作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人员体检通用标准（试行）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第一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风湿性心脏病、心肌病、冠心病、先天性心脏病、克山病等器质性心脏病，不合格。先天性心脏病不需手术者或经手术治愈者，合格。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遇有下列情况之一的，排除心脏病理性改变，合格：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（一）心脏听诊有生理性杂音；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（二）每分钟少于6次的偶发期前收缩（有心肌炎史者从严掌握）；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（三）心率每分钟50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60次或100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110次；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（四）心电图有异常的其他情况。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第二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血压在下列范围内，合格：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收缩压90mmHg—140mmHg（12.00—18.66Kpa）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舒张压60mmHg—90mmHg（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8.00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—12.00Kpa）。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第三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血液病，不合格。单纯性缺铁性贫血，血红蛋白男性高于90g/L、女性高于80g/L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第四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结核病不合格。但下列情况合格：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（一）原发性肺结核、继发性肺结核、结核性胸膜炎，临床治愈后稳定1年无变化者；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第五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慢性支气管炎伴阻塞性肺气肿、支气管扩张、支气管哮喘，不合格。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第六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严重慢性胃、肠疾病，不合格。胃溃疡或十二指肠溃疡已愈合，1年内无出血史，1年以上无症状者，合格；胃次全切除术后无严重并发症者，合格。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第七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急性肝炎，不合格；慢性肝炎，如肝功正常，合格。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第八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各种恶性肿瘤和肝硬化，不合格。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第九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急慢性肾炎、慢性肾盂肾炎、多囊肾、肾功能不全，不合格。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糖尿病、尿崩症、肢端肥大症等内分泌系统疾病，不合格。甲状腺功能亢进治愈后1年无症状和体征者，合格。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十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—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有癫痫病史、精神病史、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病史、夜游症、严重的神经官能症（经常头痛头晕、失眠、记忆力明显下降等），精神活性物质滥用和依赖者，不合格。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第十二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红斑狼疮、皮肌炎和/或多发性肌炎、硬皮病、结节性多动脉炎、类风湿性关节炎等各种弥漫性结缔组织疾病，大动脉炎，不合格。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第十三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晚期血吸虫病，晚期血丝虫病兼有橡皮肿或有乳糜尿，不合格。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第十四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颅骨缺损、颅内异物存留、颅脑畸形、脑外伤后综合症，不合格。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第十五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严重的慢性骨髓炎，不合格。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第十六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三度单纯性甲状腺肿，不合格。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第十七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有梗阻的胆结石或泌尿系结石，不合格。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第十八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第十九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双眼矫正视力均低于0.8（标准对数视力4.9）或有明显视功能损害眼病者，不合格。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第二十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双耳均有听力障碍，在佩戴助听器情况下，双耳在3米以内耳语仍听不见者，不合格。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第二十一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未纳入体检标准，影响正常履行职责的其他严重疾病，不合格。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</w:pPr>
      <w:bookmarkStart w:id="0" w:name="bookmark2"/>
      <w:bookmarkStart w:id="1" w:name="bookmark3"/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  <w:t>自治区事业单位面向社会公开招聘工作</w:t>
      </w:r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  <w:t>人员检查项目（试行）</w:t>
      </w:r>
      <w:bookmarkEnd w:id="0"/>
      <w:bookmarkEnd w:id="1"/>
    </w:p>
    <w:tbl>
      <w:tblPr>
        <w:tblStyle w:val="2"/>
        <w:tblW w:w="895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67"/>
        <w:gridCol w:w="1934"/>
        <w:gridCol w:w="545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35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检查项目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备注说明（检查细项）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35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—般体检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身高、体重、身体指数、血压。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4" w:hRule="exact"/>
          <w:jc w:val="center"/>
        </w:trPr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临床检查 （体检表）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内科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心脏（心界、杂音、心率），肺，腹部，肝，脾，神经 系统，其他。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9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外科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皮肤，浅表淋巴结，头颅，甲状腺，乳腺，脊柱， 四肢，关节活动，外生殖器，其他。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9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眼科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裸眼视力，矫正视力，色觉。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9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耳鼻喉科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听力，耳部，鼻部，咽部，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  <w:t>嗅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觉，其他。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9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口腔科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唇腭舌，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  <w:t>颞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下颌关节，腮腺，口腔粘膜，其他。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35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心电图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35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胸部正位片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  <w:jc w:val="center"/>
        </w:trPr>
        <w:tc>
          <w:tcPr>
            <w:tcW w:w="35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腹部超声（肝胆胰脾双肾）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检验项目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血常规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白细胞总数及分类，血红蛋白，红细胞总数，血小板计数等24项。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4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肝功二项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丙氨酸氨基转移酶，天冬氨酸氨基转移酶。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肾功二项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尿素氮，肌肝。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血糖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艾滋病病毒抗体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梅毒血清 特异性抗体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尿常规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尿糖，蛋白质，胆红素，尿胆原，比重，红细胞， 酸碱度，白细胞，镜检等。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564BC"/>
    <w:rsid w:val="2EC71931"/>
    <w:rsid w:val="339564BC"/>
    <w:rsid w:val="7B82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#1"/>
    <w:basedOn w:val="1"/>
    <w:qFormat/>
    <w:uiPriority w:val="0"/>
    <w:pPr>
      <w:widowControl w:val="0"/>
      <w:shd w:val="clear" w:color="auto" w:fill="FFFFFF"/>
      <w:spacing w:after="450" w:line="713" w:lineRule="exact"/>
      <w:jc w:val="center"/>
      <w:outlineLvl w:val="0"/>
    </w:pPr>
    <w:rPr>
      <w:rFonts w:ascii="MingLiU" w:hAnsi="MingLiU" w:eastAsia="MingLiU" w:cs="MingLiU"/>
      <w:sz w:val="40"/>
      <w:szCs w:val="40"/>
      <w:u w:val="none"/>
      <w:lang w:val="zh-CN" w:eastAsia="zh-CN" w:bidi="zh-CN"/>
    </w:rPr>
  </w:style>
  <w:style w:type="paragraph" w:customStyle="1" w:styleId="5">
    <w:name w:val="其他"/>
    <w:basedOn w:val="1"/>
    <w:qFormat/>
    <w:uiPriority w:val="0"/>
    <w:pPr>
      <w:widowControl w:val="0"/>
      <w:shd w:val="clear" w:color="auto" w:fill="FFFFFF"/>
      <w:spacing w:line="454" w:lineRule="auto"/>
      <w:ind w:firstLine="400"/>
    </w:pPr>
    <w:rPr>
      <w:rFonts w:ascii="MingLiU" w:hAnsi="MingLiU" w:eastAsia="MingLiU" w:cs="MingLiU"/>
      <w:sz w:val="26"/>
      <w:szCs w:val="26"/>
      <w:u w:val="none"/>
      <w:lang w:val="zh-CN" w:eastAsia="zh-CN" w:bidi="zh-CN"/>
    </w:rPr>
  </w:style>
  <w:style w:type="paragraph" w:customStyle="1" w:styleId="6">
    <w:name w:val="页眉或页脚 (2)"/>
    <w:basedOn w:val="1"/>
    <w:qFormat/>
    <w:uiPriority w:val="0"/>
    <w:pPr>
      <w:widowControl w:val="0"/>
      <w:shd w:val="clear" w:color="auto" w:fill="FFFFFF"/>
    </w:pPr>
    <w:rPr>
      <w:rFonts w:ascii="Times New Roman" w:hAnsi="Times New Roman" w:eastAsia="Times New Roman" w:cs="Times New Roman"/>
      <w:sz w:val="20"/>
      <w:szCs w:val="2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2022-07-12T01:50:00Z</dcterms:created>
  <dc:creator>佚名</dc:creator>
  <cp:lastModifiedBy>佚名</cp:lastModifiedBy>
  <dcterms:modified xsi:type="dcterms:W3CDTF">2023-04-10T11:37:58Z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