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700" w:lineRule="exact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十堰市城控运营管理集团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的各项规定，所提供的个人信息、证明材料、证件等均真实、准确，并严格落实卫生防疫要求。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四、本人认真阅读了公开招聘公告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等相关招聘信息，理解其内容，符合招聘条件，不属于不符合招聘公告报考情形的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严守纪律。对因提供有关信息、证件不真实或违反有关纪律规定等所造成的不良后果，本人自愿承担相应的责任。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85F684-C38A-487F-BFD1-35C8FB58538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36A2D81-6498-425C-9707-366BA21562F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D385A14-ECF8-4CED-A113-3934DE1F8C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2I3MzRkYzdiY2IyMzJjOWY1NjI0OTg0NTNkYjQifQ=="/>
  </w:docVars>
  <w:rsids>
    <w:rsidRoot w:val="762E3DE4"/>
    <w:rsid w:val="4BC2022F"/>
    <w:rsid w:val="762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kern w:val="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357</Characters>
  <Lines>0</Lines>
  <Paragraphs>0</Paragraphs>
  <TotalTime>0</TotalTime>
  <ScaleCrop>false</ScaleCrop>
  <LinksUpToDate>false</LinksUpToDate>
  <CharactersWithSpaces>367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2023-02-15T10:00:00Z</dcterms:created>
  <dc:creator>单宁酸</dc:creator>
  <cp:lastModifiedBy>媛媛</cp:lastModifiedBy>
  <dcterms:modified xsi:type="dcterms:W3CDTF">2023-03-06T08:21:11Z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393915156D0A4A11ACD43D856FAE56AF</vt:lpwstr>
  </property>
</Properties>
</file>