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一、聘用业务骨干及岗位条件</w:t>
      </w:r>
    </w:p>
    <w:p>
      <w:pP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753100" cy="211455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二、聘用专业技术人员及岗位条件</w:t>
      </w:r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686425" cy="714375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SoukouMincho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ukouMincho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M2IyZDg2NmIyM2RjYjBiYWM3ZDQ4YzE0MDNlZDIifQ=="/>
  </w:docVars>
  <w:rsids>
    <w:rsidRoot w:val="06F747C3"/>
    <w:rsid w:val="06F7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</Words>
  <Characters>28</Characters>
  <Lines>0</Lines>
  <Paragraphs>0</Paragraphs>
  <TotalTime>0</TotalTime>
  <ScaleCrop>false</ScaleCrop>
  <LinksUpToDate>false</LinksUpToDate>
  <CharactersWithSpaces>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2023-05-29T08:09:00Z</dcterms:created>
  <dc:creator>凉山在线～缪广忠</dc:creator>
  <cp:lastModifiedBy>凉山在线～缪广忠</cp:lastModifiedBy>
  <dcterms:modified xsi:type="dcterms:W3CDTF">2023-05-29T08:11:18Z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76E64B351FB9481A81DF08D006A4ACD6_11</vt:lpwstr>
  </property>
</Properties>
</file>