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M3OTVlYzljMTZkOWRmODJhZjM3ODlmYTc2MTUyYW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31B3F41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2023-05-11T08:10:08Z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7D17A3689A1A40A189B6FC02DEDDA36D</vt:lpwstr>
  </property>
</Properties>
</file>