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/>
          <w:b/>
          <w:bCs w:val="0"/>
          <w:color w:val="auto"/>
          <w:sz w:val="40"/>
        </w:rPr>
      </w:pPr>
      <w:r>
        <w:rPr>
          <w:rFonts w:ascii="Times New Roman" w:hAnsi="Times New Roman"/>
          <w:b/>
          <w:bCs w:val="0"/>
          <w:color w:val="auto"/>
          <w:sz w:val="40"/>
        </w:rPr>
        <w:t>云南省申请教师资格认定人员体检表</w:t>
      </w:r>
    </w:p>
    <w:tbl>
      <w:tblPr>
        <w:tblStyle w:val="8"/>
        <w:tblW w:w="0" w:type="auto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相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pacing w:val="-16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bCs/>
                <w:color w:val="auto"/>
                <w:lang w:eastAsia="zh-CN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裸 眼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spacing w:val="24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</w:tbl>
    <w:p>
      <w:pPr>
        <w:rPr>
          <w:rFonts w:ascii="Times New Roman" w:hAnsi="Times New Roman"/>
          <w:bCs/>
          <w:vanish/>
          <w:color w:val="auto"/>
        </w:rPr>
      </w:pPr>
    </w:p>
    <w:tbl>
      <w:tblPr>
        <w:tblStyle w:val="8"/>
        <w:tblpPr w:leftFromText="180" w:rightFromText="180" w:vertAnchor="page" w:horzAnchor="margin" w:tblpXSpec="center" w:tblpY="19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 xml:space="preserve">                                                   体检医院公章</w:t>
            </w:r>
          </w:p>
          <w:p>
            <w:pPr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 xml:space="preserve">         </w:t>
            </w:r>
          </w:p>
          <w:p>
            <w:pPr>
              <w:ind w:firstLine="5400"/>
              <w:rPr>
                <w:rFonts w:hint="default" w:ascii="Times New Roman" w:hAnsi="Times New Roman" w:cs="Times New Roman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</w:rPr>
              <w:t>年     月     日</w:t>
            </w:r>
          </w:p>
        </w:tc>
      </w:tr>
    </w:tbl>
    <w:p>
      <w:pPr>
        <w:spacing w:line="20" w:lineRule="exact"/>
        <w:rPr>
          <w:rFonts w:hint="eastAsia" w:ascii="Times New Roman" w:hAnsi="Times New Roman"/>
          <w:bCs/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备注：《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云南省申请教师资格认定人员体检表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》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要求双面打印成一张A4纸。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</w:t>
      </w:r>
      <w:r>
        <w:rPr>
          <w:rFonts w:ascii="XEKKFX + SimHei" w:hAnsi="XEKKFX + SimHei" w:eastAsia="XEKKFX + SimHei" w:cs="XEKKFX + SimHei"/>
          <w:color w:val="000000"/>
          <w:kern w:val="0"/>
          <w:sz w:val="36"/>
          <w:szCs w:val="36"/>
          <w:lang w:val="en-US" w:eastAsia="zh-CN" w:bidi="ar"/>
        </w:rPr>
        <w:t>云南省申请教师资格人员体检办法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ascii="NREKVL + FangSong_GB2312" w:hAnsi="NREKVL + FangSong_GB2312" w:eastAsia="NREKVL + FangSong_GB2312" w:cs="NREKVL + FangSong_GB2312"/>
          <w:color w:val="333333"/>
          <w:sz w:val="29"/>
          <w:szCs w:val="29"/>
        </w:rPr>
        <w:t>一、为了顺利实施教师资格制度，根据《教师资格条例》及</w:t>
      </w: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其实施办法，参照高等师范院校、中等师范学校招生工作的有关规定，结合我省实际情况，特制订本标准及办法。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二、参加体检的人员范围：按照我省实施教师资格制度的有关规定，申请各类教师资格人员，除离退休人员外，均需参加体检。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三、体检标准：体检的结论分为合格、不合格两种，凡有下列情况之一者，均为体检不合格。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1．器质性心脏病（风湿性心脏病、先天性心脏病、心肌病、频发性期前收缩、心电图不正常）。</w:t>
      </w: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NREKVL + FangSong_GB2312" w:hAnsi="NREKVL + FangSong_GB2312" w:eastAsia="NREKVL + FangSong_GB2312" w:cs="NREKVL + FangSong_GB2312"/>
          <w:color w:val="333333"/>
          <w:kern w:val="0"/>
          <w:sz w:val="29"/>
          <w:szCs w:val="29"/>
          <w:lang w:val="en-US" w:eastAsia="zh-CN" w:bidi="ar"/>
        </w:rPr>
        <w:t>2．血压超过 18.66/12 KPa(140/90毫米汞柱)，低于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11.46/7.4KPa(86/56 毫米汞柱)。单项收缩压超过 21.33KPa（160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毫米汞柱），低于 10.66KPa(80毫米汞柱)。舒张压超过 12KPa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（90毫米汞柱），低于 6.66KPa（50毫米汞柱）。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3．结核病未治愈者。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4．支气管扩张病，未治愈者。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5．肝大，质中等硬度以上，肝脾同时触及，肝在肋下 2厘米以内，脾在肋下 1厘米以内，肝功能不正常；肝在肋下超过 2厘米（肝生理性下垂除外）；单纯脾大超过 1厘米，肝功能亢进；单纯脾大 3厘米以上。</w:t>
      </w: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ascii="AUWCNV + TimesNewRomanPSMT" w:hAnsi="AUWCNV + TimesNewRomanPSMT" w:eastAsia="AUWCNV + TimesNewRomanPSMT" w:cs="AUWCNV + TimesNewRomanPSMT"/>
          <w:color w:val="000000"/>
          <w:kern w:val="0"/>
          <w:sz w:val="17"/>
          <w:szCs w:val="17"/>
          <w:lang w:val="en-US" w:eastAsia="zh-CN" w:bidi="ar"/>
        </w:rPr>
        <w:t>1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6．有各种恶性肿瘤病史者。各种结缔组织疾病（胶原疾病）。内分泌系统疾病（如糖尿病、尿崩症、肢端肥大症等）。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7．慢性肾炎，未治愈者。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8．癫痫史、精神病史、癔病史、遗尿症、夜游症。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9．肝切除超过一叶；肺不张一叶以上。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 0．类风湿脊柱强直；慢性骨髓炎。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 1．麻风病患者，未治愈。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12．HIV病毒感染者。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 3．青光眼；视网膜、视神经疾病（陈旧性或稳定性眼底疾病除外）。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14．两眼矫正视力之和低于 5.0者（体检实施中遇此情况，用标准对数视力表中相应的小数记录法，记录两眼视力之和再折算成 5分记录数值）。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15．两耳听力均低于 2米。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16．两上肢或两下肢不能运动；两下肢不等长超过 5厘米；脊柱侧弯超过 4厘米，肌力二级以下；显著胸廓畸形。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17．严重的口吃、口腔有生理缺陷及耳、鼻、喉疾病之一妨碍教学工作者。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18．面部有较大面积疤、麻、血管瘤或白癜风、黑色素痣等。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19．除以上各项外，其它影响教学工作的疾病。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四、体检机构：由各级教师资格管理机构指定的医院负责体检。</w:t>
      </w: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AUWCNV + TimesNewRomanPSMT" w:hAnsi="AUWCNV + TimesNewRomanPSMT" w:eastAsia="AUWCNV + TimesNewRomanPSMT" w:cs="AUWCNV + TimesNewRomanPSMT"/>
          <w:color w:val="000000"/>
          <w:kern w:val="0"/>
          <w:sz w:val="17"/>
          <w:szCs w:val="17"/>
          <w:lang w:val="en-US" w:eastAsia="zh-CN" w:bidi="ar"/>
        </w:rPr>
        <w:t>2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五、体检要求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1．教师资格申请人员体检工作是一项很重要和复杂的工作，各级有关部门要做好宣传教育和组织工作。在体检时，要做好协调、指导、督促检查工作，并负责解决体检中的疑难问题。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2．负责体检任务的医院要安排好一名业务副院长负责，并选调政治思想好、工作责任心强、作风正派、业务水平高的各科医生、护士和工作人员组成。人员安排要注意新老搭配，检查队伍要相对稳定，便于体检工作的顺利进行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3．体检前应组织全体检查人员认真学习国家的有关规定和“体检标准及办法”等，对负责体检的人员进行必要的培训，制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定相应的措施和奖惩制度。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4．体检过程中，体检表、检验单应指定专人传递和集中保管，不准让申请人自带。进行 X光胸透时，要指定专人组织，排好顺序逐个对照检查，以防漏检或作弊。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5．参加体检的各科医生对本科所检的项目负责。不要漏填或错填。发现阳性体征，一律如实记入体检表内，不得随意涂改。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6．体检中若发现有疑难问题，应采取集体会诊或进一步检查后再下结论。若因设备条件限制或会诊仍难判断者，到教师资</w:t>
      </w: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AUWCNV + TimesNewRomanPSMT" w:hAnsi="AUWCNV + TimesNewRomanPSMT" w:eastAsia="AUWCNV + TimesNewRomanPSMT" w:cs="AUWCNV + TimesNewRomanPSMT"/>
          <w:color w:val="000000"/>
          <w:kern w:val="0"/>
          <w:sz w:val="17"/>
          <w:szCs w:val="17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NREKVL + FangSong_GB2312" w:hAnsi="NREKVL + FangSong_GB2312" w:eastAsia="NREKVL + FangSong_GB2312" w:cs="NREKVL + FangSong_GB2312"/>
          <w:color w:val="333333"/>
          <w:kern w:val="0"/>
          <w:sz w:val="29"/>
          <w:szCs w:val="29"/>
          <w:lang w:val="en-US" w:eastAsia="zh-CN" w:bidi="ar"/>
        </w:rPr>
        <w:t>格管理机构指定的上级医院复查。复查时要指派专人陪同，上级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医院对体检站的诊断结论否定时，要在诊断证明书上详注复查结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果。资格认定申请人员自行取得的任何检查材料，均不得作为资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格认定健康状况的依据，拒绝接受。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7．体检工作人员要做好当日检查所需器材、药液和试剂。器械应及时消毒，仪表每日校正，试剂要保证其浓度，确保检查结果的准确。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8．主检医师及时综合各科检查结果，全面检查无误后认真作出“合格”或“不合格”的结论，填写在结论栏内。医院根据体检综合情况，对资格认定健康状况下作出“合格”或“不合格”的结论，加盖公章，并通知申请人员取体检表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9．对申请人员进行健康检查是一项严肃的工作，体检时各个环节都要把好关，要实事求是，不得弄虚作假，如发现弄虚作假者，除取消本人认定资格外，对责任人要严肃处理。体检医院出现严重问题者，教师资格管理机构要及时取消其体检资格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1 0．负责体检的医院要紧密配合，提高效率，体检时间一般不超过七个工作日，情况特殊者要及时告知申请人员。</w:t>
      </w:r>
    </w:p>
    <w:p>
      <w:pPr>
        <w:pStyle w:val="6"/>
        <w:keepNext w:val="0"/>
        <w:keepLines w:val="0"/>
        <w:widowControl/>
        <w:suppressLineNumbers w:val="0"/>
        <w:ind w:left="0" w:firstLine="640"/>
      </w:pPr>
      <w:r>
        <w:rPr>
          <w:rFonts w:hint="default" w:ascii="NREKVL + FangSong_GB2312" w:hAnsi="NREKVL + FangSong_GB2312" w:eastAsia="NREKVL + FangSong_GB2312" w:cs="NREKVL + FangSong_GB2312"/>
          <w:color w:val="333333"/>
          <w:sz w:val="29"/>
          <w:szCs w:val="29"/>
        </w:rPr>
        <w:t>六、本办法自发文之日起执行。由云南省教师资格认定机构负责解释。</w:t>
      </w: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hint="default" w:ascii="AUWCNV + TimesNewRomanPSMT" w:hAnsi="AUWCNV + TimesNewRomanPSMT" w:eastAsia="AUWCNV + TimesNewRomanPSMT" w:cs="AUWCNV + TimesNewRomanPSMT"/>
          <w:color w:val="000000"/>
          <w:kern w:val="0"/>
          <w:sz w:val="17"/>
          <w:szCs w:val="17"/>
          <w:lang w:val="en-US" w:eastAsia="zh-CN" w:bidi="ar"/>
        </w:rPr>
        <w:t>4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    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XEKKFX + 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REKVL + 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UWCNV + 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7F37"/>
    <w:rsid w:val="00375E3B"/>
    <w:rsid w:val="01B77293"/>
    <w:rsid w:val="02F7248C"/>
    <w:rsid w:val="06B45A45"/>
    <w:rsid w:val="07EC5239"/>
    <w:rsid w:val="0CC974AE"/>
    <w:rsid w:val="14136331"/>
    <w:rsid w:val="169703BD"/>
    <w:rsid w:val="16C3091C"/>
    <w:rsid w:val="18A07205"/>
    <w:rsid w:val="19403E05"/>
    <w:rsid w:val="2A177884"/>
    <w:rsid w:val="2AE553CE"/>
    <w:rsid w:val="302B5B6B"/>
    <w:rsid w:val="30A26FB0"/>
    <w:rsid w:val="386F1987"/>
    <w:rsid w:val="38FF74A1"/>
    <w:rsid w:val="3A7C10C0"/>
    <w:rsid w:val="3B7B6268"/>
    <w:rsid w:val="3C2D2E4B"/>
    <w:rsid w:val="3D0C5147"/>
    <w:rsid w:val="3D8C430C"/>
    <w:rsid w:val="3F294D19"/>
    <w:rsid w:val="3F503530"/>
    <w:rsid w:val="405F4166"/>
    <w:rsid w:val="422466BD"/>
    <w:rsid w:val="429652C0"/>
    <w:rsid w:val="42F504C0"/>
    <w:rsid w:val="449F4583"/>
    <w:rsid w:val="450B0507"/>
    <w:rsid w:val="45A618AA"/>
    <w:rsid w:val="467E56CD"/>
    <w:rsid w:val="468C1094"/>
    <w:rsid w:val="47D939E4"/>
    <w:rsid w:val="4CB82E84"/>
    <w:rsid w:val="4E0E739C"/>
    <w:rsid w:val="507934E2"/>
    <w:rsid w:val="50C33CF8"/>
    <w:rsid w:val="552C3857"/>
    <w:rsid w:val="553E163E"/>
    <w:rsid w:val="55DC75DF"/>
    <w:rsid w:val="564F520A"/>
    <w:rsid w:val="58FA317B"/>
    <w:rsid w:val="59CF49B7"/>
    <w:rsid w:val="5B1B01A0"/>
    <w:rsid w:val="5BEF217C"/>
    <w:rsid w:val="5C3E092C"/>
    <w:rsid w:val="5DC7441C"/>
    <w:rsid w:val="60782AE7"/>
    <w:rsid w:val="60A76496"/>
    <w:rsid w:val="63C778F1"/>
    <w:rsid w:val="646054A5"/>
    <w:rsid w:val="66472E52"/>
    <w:rsid w:val="66D816D2"/>
    <w:rsid w:val="66DF7F37"/>
    <w:rsid w:val="679007D0"/>
    <w:rsid w:val="687B678E"/>
    <w:rsid w:val="6C937C15"/>
    <w:rsid w:val="6D03671E"/>
    <w:rsid w:val="6EB02CCF"/>
    <w:rsid w:val="70D521C1"/>
    <w:rsid w:val="73605016"/>
    <w:rsid w:val="74445937"/>
    <w:rsid w:val="76482803"/>
    <w:rsid w:val="7C1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2023-03-22T00:50:00Z</dcterms:created>
  <dc:creator>Administrator</dc:creator>
  <cp:lastModifiedBy>邵瑞</cp:lastModifiedBy>
  <dcterms:modified xsi:type="dcterms:W3CDTF">2023-05-09T01:13:28Z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