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大渡口区</w:t>
      </w:r>
      <w:r>
        <w:rPr>
          <w:rFonts w:hint="eastAsia" w:ascii="方正小标宋_GBK" w:hAnsi="方正小标宋_GBK" w:eastAsia="方正小标宋_GBK" w:cs="方正小标宋_GBK"/>
          <w:b/>
          <w:bCs/>
          <w:color w:val="000000"/>
          <w:sz w:val="44"/>
          <w:szCs w:val="44"/>
          <w:lang w:val="en-US" w:eastAsia="zh-CN"/>
        </w:rPr>
        <w:t>2023年</w:t>
      </w:r>
      <w:r>
        <w:rPr>
          <w:rFonts w:hint="eastAsia" w:ascii="方正小标宋_GBK" w:hAnsi="方正小标宋_GBK" w:eastAsia="方正小标宋_GBK" w:cs="方正小标宋_GBK"/>
          <w:b/>
          <w:bCs/>
          <w:color w:val="000000"/>
          <w:sz w:val="44"/>
          <w:szCs w:val="44"/>
        </w:rPr>
        <w:t>从优秀村（社区）干部中招录公务员</w:t>
      </w:r>
    </w:p>
    <w:p>
      <w:pPr>
        <w:spacing w:line="600" w:lineRule="exact"/>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笔试、面试</w:t>
      </w:r>
      <w:r>
        <w:rPr>
          <w:rFonts w:hint="eastAsia" w:ascii="方正小标宋_GBK" w:hAnsi="方正小标宋_GBK" w:eastAsia="方正小标宋_GBK" w:cs="方正小标宋_GBK"/>
          <w:b/>
          <w:bCs/>
          <w:color w:val="000000"/>
          <w:sz w:val="44"/>
          <w:szCs w:val="44"/>
          <w:lang w:eastAsia="zh-CN"/>
        </w:rPr>
        <w:t>、</w:t>
      </w:r>
      <w:r>
        <w:rPr>
          <w:rFonts w:hint="eastAsia" w:ascii="方正小标宋_GBK" w:hAnsi="方正小标宋_GBK" w:eastAsia="方正小标宋_GBK" w:cs="方正小标宋_GBK"/>
          <w:b/>
          <w:bCs/>
          <w:color w:val="000000"/>
          <w:sz w:val="44"/>
          <w:szCs w:val="44"/>
          <w:lang w:val="en-US" w:eastAsia="zh-CN"/>
        </w:rPr>
        <w:t>量化考察</w:t>
      </w:r>
      <w:r>
        <w:rPr>
          <w:rFonts w:hint="eastAsia" w:ascii="方正小标宋_GBK" w:hAnsi="方正小标宋_GBK" w:eastAsia="方正小标宋_GBK" w:cs="方正小标宋_GBK"/>
          <w:b/>
          <w:bCs/>
          <w:color w:val="000000"/>
          <w:sz w:val="44"/>
          <w:szCs w:val="44"/>
        </w:rPr>
        <w:t>和</w:t>
      </w:r>
      <w:r>
        <w:rPr>
          <w:rFonts w:hint="eastAsia" w:ascii="方正小标宋_GBK" w:hAnsi="方正小标宋_GBK" w:eastAsia="方正小标宋_GBK" w:cs="方正小标宋_GBK"/>
          <w:b/>
          <w:bCs/>
          <w:color w:val="000000"/>
          <w:sz w:val="44"/>
          <w:szCs w:val="44"/>
          <w:lang w:val="en-US" w:eastAsia="zh-CN"/>
        </w:rPr>
        <w:t>综合</w:t>
      </w:r>
      <w:r>
        <w:rPr>
          <w:rFonts w:hint="eastAsia" w:ascii="方正小标宋_GBK" w:hAnsi="方正小标宋_GBK" w:eastAsia="方正小标宋_GBK" w:cs="方正小标宋_GBK"/>
          <w:b/>
          <w:bCs/>
          <w:color w:val="000000"/>
          <w:sz w:val="44"/>
          <w:szCs w:val="44"/>
        </w:rPr>
        <w:t>成绩公布表</w:t>
      </w:r>
    </w:p>
    <w:p>
      <w:pPr>
        <w:spacing w:line="300" w:lineRule="exact"/>
        <w:rPr>
          <w:rFonts w:eastAsia="方正小标宋_GBK"/>
          <w:b/>
          <w:kern w:val="0"/>
          <w:sz w:val="44"/>
          <w:szCs w:val="44"/>
        </w:rPr>
      </w:pPr>
    </w:p>
    <w:p>
      <w:pPr>
        <w:spacing w:line="440" w:lineRule="exact"/>
        <w:ind w:firstLine="560" w:firstLineChars="200"/>
        <w:rPr>
          <w:rFonts w:ascii="方正楷体_GBK" w:eastAsia="方正楷体_GBK" w:cs="仿宋_GB2312"/>
          <w:color w:val="000000"/>
          <w:sz w:val="28"/>
          <w:szCs w:val="28"/>
        </w:rPr>
      </w:pPr>
      <w:r>
        <w:rPr>
          <w:rFonts w:hint="eastAsia" w:ascii="方正楷体_GBK" w:eastAsia="方正楷体_GBK" w:cs="仿宋_GB2312"/>
          <w:color w:val="000000"/>
          <w:sz w:val="28"/>
          <w:szCs w:val="28"/>
        </w:rPr>
        <w:t>根据公告规定，我区组织开展了笔试、面试、量化考察工作，现将参加笔试、面试、量化考察的各项成绩公布如下：</w:t>
      </w:r>
    </w:p>
    <w:tbl>
      <w:tblPr>
        <w:tblStyle w:val="5"/>
        <w:tblW w:w="136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254"/>
        <w:gridCol w:w="1280"/>
        <w:gridCol w:w="1431"/>
        <w:gridCol w:w="1121"/>
        <w:gridCol w:w="1039"/>
        <w:gridCol w:w="1080"/>
        <w:gridCol w:w="999"/>
        <w:gridCol w:w="1134"/>
        <w:gridCol w:w="1418"/>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435"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招录区县</w:t>
            </w:r>
          </w:p>
        </w:tc>
        <w:tc>
          <w:tcPr>
            <w:tcW w:w="1254" w:type="dxa"/>
            <w:vMerge w:val="restart"/>
            <w:tcBorders>
              <w:tl2br w:val="nil"/>
              <w:tr2bl w:val="nil"/>
            </w:tcBorders>
            <w:vAlign w:val="center"/>
          </w:tcPr>
          <w:p>
            <w:pPr>
              <w:spacing w:line="300" w:lineRule="exact"/>
              <w:jc w:val="center"/>
              <w:rPr>
                <w:rFonts w:hint="eastAsia" w:ascii="方正黑体_GBK" w:eastAsia="方正黑体_GBK"/>
                <w:color w:val="000000"/>
                <w:sz w:val="30"/>
                <w:szCs w:val="30"/>
              </w:rPr>
            </w:pPr>
            <w:r>
              <w:rPr>
                <w:rFonts w:hint="eastAsia" w:ascii="方正黑体_GBK" w:eastAsia="方正黑体_GBK"/>
                <w:color w:val="000000"/>
                <w:sz w:val="30"/>
                <w:szCs w:val="30"/>
              </w:rPr>
              <w:t>招考</w:t>
            </w:r>
          </w:p>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职位</w:t>
            </w:r>
          </w:p>
        </w:tc>
        <w:tc>
          <w:tcPr>
            <w:tcW w:w="1280"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考生</w:t>
            </w:r>
          </w:p>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姓名</w:t>
            </w:r>
          </w:p>
        </w:tc>
        <w:tc>
          <w:tcPr>
            <w:tcW w:w="1431"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所学</w:t>
            </w:r>
          </w:p>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专业</w:t>
            </w:r>
          </w:p>
        </w:tc>
        <w:tc>
          <w:tcPr>
            <w:tcW w:w="3240" w:type="dxa"/>
            <w:gridSpan w:val="3"/>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s="宋体"/>
                <w:color w:val="000000"/>
                <w:sz w:val="30"/>
                <w:szCs w:val="30"/>
              </w:rPr>
              <w:t>笔试成绩</w:t>
            </w:r>
          </w:p>
        </w:tc>
        <w:tc>
          <w:tcPr>
            <w:tcW w:w="999"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面试成绩</w:t>
            </w:r>
          </w:p>
        </w:tc>
        <w:tc>
          <w:tcPr>
            <w:tcW w:w="1134"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量化考察成绩</w:t>
            </w:r>
          </w:p>
        </w:tc>
        <w:tc>
          <w:tcPr>
            <w:tcW w:w="1418"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s="宋体"/>
                <w:color w:val="000000"/>
                <w:sz w:val="30"/>
                <w:szCs w:val="30"/>
                <w:lang w:val="en-US" w:eastAsia="zh-CN"/>
              </w:rPr>
              <w:t>综合</w:t>
            </w:r>
            <w:r>
              <w:rPr>
                <w:rFonts w:hint="eastAsia" w:ascii="方正黑体_GBK" w:eastAsia="方正黑体_GBK" w:cs="宋体"/>
                <w:color w:val="000000"/>
                <w:sz w:val="30"/>
                <w:szCs w:val="30"/>
              </w:rPr>
              <w:t>成绩</w:t>
            </w:r>
          </w:p>
        </w:tc>
        <w:tc>
          <w:tcPr>
            <w:tcW w:w="1418"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按</w:t>
            </w:r>
            <w:r>
              <w:rPr>
                <w:rFonts w:hint="eastAsia" w:ascii="方正黑体_GBK" w:eastAsia="方正黑体_GBK"/>
                <w:color w:val="000000"/>
                <w:sz w:val="30"/>
                <w:szCs w:val="30"/>
                <w:lang w:val="en-US" w:eastAsia="zh-CN"/>
              </w:rPr>
              <w:t>综合成绩</w:t>
            </w:r>
            <w:r>
              <w:rPr>
                <w:rFonts w:hint="eastAsia" w:ascii="方正黑体_GBK" w:eastAsia="方正黑体_GBK"/>
                <w:color w:val="000000"/>
                <w:sz w:val="30"/>
                <w:szCs w:val="30"/>
              </w:rPr>
              <w:t>排序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435" w:type="dxa"/>
            <w:vMerge w:val="continue"/>
            <w:tcBorders>
              <w:tl2br w:val="nil"/>
              <w:tr2bl w:val="nil"/>
            </w:tcBorders>
            <w:vAlign w:val="center"/>
          </w:tcPr>
          <w:p>
            <w:pPr>
              <w:widowControl/>
              <w:jc w:val="left"/>
              <w:rPr>
                <w:rFonts w:ascii="方正黑体_GBK" w:eastAsia="方正黑体_GBK"/>
                <w:color w:val="000000"/>
                <w:sz w:val="30"/>
                <w:szCs w:val="30"/>
              </w:rPr>
            </w:pPr>
          </w:p>
        </w:tc>
        <w:tc>
          <w:tcPr>
            <w:tcW w:w="1254" w:type="dxa"/>
            <w:vMerge w:val="continue"/>
            <w:tcBorders>
              <w:tl2br w:val="nil"/>
              <w:tr2bl w:val="nil"/>
            </w:tcBorders>
            <w:vAlign w:val="center"/>
          </w:tcPr>
          <w:p>
            <w:pPr>
              <w:widowControl/>
              <w:jc w:val="left"/>
              <w:rPr>
                <w:rFonts w:ascii="方正黑体_GBK" w:eastAsia="方正黑体_GBK"/>
                <w:color w:val="000000"/>
                <w:sz w:val="30"/>
                <w:szCs w:val="30"/>
              </w:rPr>
            </w:pPr>
          </w:p>
        </w:tc>
        <w:tc>
          <w:tcPr>
            <w:tcW w:w="1280" w:type="dxa"/>
            <w:vMerge w:val="continue"/>
            <w:tcBorders>
              <w:tl2br w:val="nil"/>
              <w:tr2bl w:val="nil"/>
            </w:tcBorders>
            <w:vAlign w:val="center"/>
          </w:tcPr>
          <w:p>
            <w:pPr>
              <w:widowControl/>
              <w:jc w:val="left"/>
              <w:rPr>
                <w:rFonts w:ascii="方正黑体_GBK" w:eastAsia="方正黑体_GBK"/>
                <w:color w:val="000000"/>
                <w:sz w:val="30"/>
                <w:szCs w:val="30"/>
              </w:rPr>
            </w:pPr>
          </w:p>
        </w:tc>
        <w:tc>
          <w:tcPr>
            <w:tcW w:w="1431" w:type="dxa"/>
            <w:vMerge w:val="continue"/>
            <w:tcBorders>
              <w:tl2br w:val="nil"/>
              <w:tr2bl w:val="nil"/>
            </w:tcBorders>
            <w:vAlign w:val="center"/>
          </w:tcPr>
          <w:p>
            <w:pPr>
              <w:widowControl/>
              <w:jc w:val="left"/>
              <w:rPr>
                <w:rFonts w:ascii="方正黑体_GBK" w:eastAsia="方正黑体_GBK"/>
                <w:color w:val="000000"/>
                <w:sz w:val="30"/>
                <w:szCs w:val="30"/>
              </w:rPr>
            </w:pPr>
          </w:p>
        </w:tc>
        <w:tc>
          <w:tcPr>
            <w:tcW w:w="1121" w:type="dxa"/>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行测</w:t>
            </w:r>
          </w:p>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成绩</w:t>
            </w:r>
          </w:p>
        </w:tc>
        <w:tc>
          <w:tcPr>
            <w:tcW w:w="1039" w:type="dxa"/>
            <w:tcBorders>
              <w:tl2br w:val="nil"/>
              <w:tr2bl w:val="nil"/>
            </w:tcBorders>
            <w:vAlign w:val="center"/>
          </w:tcPr>
          <w:p>
            <w:pPr>
              <w:spacing w:line="300" w:lineRule="exact"/>
              <w:jc w:val="center"/>
              <w:rPr>
                <w:rFonts w:ascii="方正黑体_GBK" w:eastAsia="方正黑体_GBK" w:cs="宋体"/>
                <w:color w:val="000000"/>
                <w:sz w:val="30"/>
                <w:szCs w:val="30"/>
              </w:rPr>
            </w:pPr>
            <w:r>
              <w:rPr>
                <w:rFonts w:hint="eastAsia" w:ascii="方正黑体_GBK" w:eastAsia="方正黑体_GBK" w:cs="宋体"/>
                <w:color w:val="000000"/>
                <w:sz w:val="30"/>
                <w:szCs w:val="30"/>
              </w:rPr>
              <w:t>申论成绩</w:t>
            </w:r>
          </w:p>
        </w:tc>
        <w:tc>
          <w:tcPr>
            <w:tcW w:w="1080" w:type="dxa"/>
            <w:tcBorders>
              <w:tl2br w:val="nil"/>
              <w:tr2bl w:val="nil"/>
            </w:tcBorders>
            <w:vAlign w:val="center"/>
          </w:tcPr>
          <w:p>
            <w:pPr>
              <w:spacing w:line="300" w:lineRule="exact"/>
              <w:jc w:val="center"/>
              <w:rPr>
                <w:rFonts w:ascii="方正黑体_GBK" w:eastAsia="方正黑体_GBK" w:cs="宋体"/>
                <w:color w:val="000000"/>
                <w:sz w:val="30"/>
                <w:szCs w:val="30"/>
              </w:rPr>
            </w:pPr>
            <w:r>
              <w:rPr>
                <w:rFonts w:hint="eastAsia" w:ascii="方正黑体_GBK" w:eastAsia="方正黑体_GBK" w:cs="宋体"/>
                <w:color w:val="000000"/>
                <w:sz w:val="30"/>
                <w:szCs w:val="30"/>
              </w:rPr>
              <w:t>合计</w:t>
            </w:r>
          </w:p>
        </w:tc>
        <w:tc>
          <w:tcPr>
            <w:tcW w:w="999" w:type="dxa"/>
            <w:vMerge w:val="continue"/>
            <w:tcBorders>
              <w:tl2br w:val="nil"/>
              <w:tr2bl w:val="nil"/>
            </w:tcBorders>
            <w:vAlign w:val="center"/>
          </w:tcPr>
          <w:p>
            <w:pPr>
              <w:spacing w:line="300" w:lineRule="exact"/>
              <w:jc w:val="center"/>
              <w:rPr>
                <w:rFonts w:ascii="方正黑体_GBK" w:eastAsia="方正黑体_GBK" w:cs="宋体"/>
                <w:color w:val="000000"/>
                <w:sz w:val="30"/>
                <w:szCs w:val="30"/>
              </w:rPr>
            </w:pPr>
          </w:p>
        </w:tc>
        <w:tc>
          <w:tcPr>
            <w:tcW w:w="1134" w:type="dxa"/>
            <w:vMerge w:val="continue"/>
            <w:tcBorders>
              <w:tl2br w:val="nil"/>
              <w:tr2bl w:val="nil"/>
            </w:tcBorders>
            <w:vAlign w:val="center"/>
          </w:tcPr>
          <w:p>
            <w:pPr>
              <w:spacing w:line="300" w:lineRule="exact"/>
              <w:jc w:val="center"/>
              <w:rPr>
                <w:rFonts w:ascii="方正黑体_GBK" w:eastAsia="方正黑体_GBK" w:cs="宋体"/>
                <w:color w:val="000000"/>
                <w:sz w:val="30"/>
                <w:szCs w:val="30"/>
              </w:rPr>
            </w:pPr>
          </w:p>
        </w:tc>
        <w:tc>
          <w:tcPr>
            <w:tcW w:w="1418" w:type="dxa"/>
            <w:vMerge w:val="continue"/>
            <w:tcBorders>
              <w:tl2br w:val="nil"/>
              <w:tr2bl w:val="nil"/>
            </w:tcBorders>
            <w:vAlign w:val="center"/>
          </w:tcPr>
          <w:p>
            <w:pPr>
              <w:widowControl/>
              <w:jc w:val="left"/>
              <w:rPr>
                <w:rFonts w:ascii="方正黑体_GBK" w:eastAsia="方正黑体_GBK"/>
                <w:color w:val="000000"/>
                <w:sz w:val="30"/>
                <w:szCs w:val="30"/>
              </w:rPr>
            </w:pPr>
          </w:p>
        </w:tc>
        <w:tc>
          <w:tcPr>
            <w:tcW w:w="1418" w:type="dxa"/>
            <w:vMerge w:val="continue"/>
            <w:tcBorders>
              <w:tl2br w:val="nil"/>
              <w:tr2bl w:val="nil"/>
            </w:tcBorders>
            <w:vAlign w:val="center"/>
          </w:tcPr>
          <w:p>
            <w:pPr>
              <w:widowControl/>
              <w:jc w:val="left"/>
              <w:rPr>
                <w:rFonts w:ascii="方正黑体_GBK" w:eastAsia="方正黑体_GBK"/>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35"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大渡口区</w:t>
            </w:r>
          </w:p>
        </w:tc>
        <w:tc>
          <w:tcPr>
            <w:tcW w:w="1254" w:type="dxa"/>
            <w:vMerge w:val="restart"/>
            <w:tcBorders>
              <w:tl2br w:val="nil"/>
              <w:tr2bl w:val="nil"/>
            </w:tcBorders>
            <w:vAlign w:val="center"/>
          </w:tcPr>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综合</w:t>
            </w:r>
          </w:p>
          <w:p>
            <w:pPr>
              <w:spacing w:line="300" w:lineRule="exact"/>
              <w:jc w:val="center"/>
              <w:rPr>
                <w:rFonts w:ascii="方正黑体_GBK" w:eastAsia="方正黑体_GBK"/>
                <w:color w:val="000000"/>
                <w:sz w:val="30"/>
                <w:szCs w:val="30"/>
              </w:rPr>
            </w:pPr>
            <w:r>
              <w:rPr>
                <w:rFonts w:hint="eastAsia" w:ascii="方正黑体_GBK" w:eastAsia="方正黑体_GBK"/>
                <w:color w:val="000000"/>
                <w:sz w:val="30"/>
                <w:szCs w:val="30"/>
              </w:rPr>
              <w:t>管理3</w:t>
            </w:r>
          </w:p>
        </w:tc>
        <w:tc>
          <w:tcPr>
            <w:tcW w:w="1280"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i w:val="0"/>
                <w:color w:val="000000"/>
                <w:kern w:val="0"/>
                <w:sz w:val="28"/>
                <w:szCs w:val="28"/>
                <w:u w:val="none"/>
                <w:lang w:val="en-US" w:eastAsia="zh-CN" w:bidi="ar"/>
              </w:rPr>
              <w:t>赖莹影</w:t>
            </w:r>
          </w:p>
        </w:tc>
        <w:tc>
          <w:tcPr>
            <w:tcW w:w="1431"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汉语言</w:t>
            </w:r>
          </w:p>
          <w:p>
            <w:pPr>
              <w:spacing w:line="300" w:lineRule="exact"/>
              <w:jc w:val="center"/>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文学</w:t>
            </w:r>
          </w:p>
        </w:tc>
        <w:tc>
          <w:tcPr>
            <w:tcW w:w="1121"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t>63.6</w:t>
            </w:r>
          </w:p>
        </w:tc>
        <w:tc>
          <w:tcPr>
            <w:tcW w:w="1039"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t>66</w:t>
            </w:r>
          </w:p>
        </w:tc>
        <w:tc>
          <w:tcPr>
            <w:tcW w:w="1080"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color w:val="000000"/>
                <w:sz w:val="28"/>
                <w:szCs w:val="28"/>
                <w:lang w:val="en-US"/>
              </w:rPr>
            </w:pPr>
            <w:r>
              <w:rPr>
                <w:rFonts w:hint="default" w:ascii="Times New Roman" w:hAnsi="Times New Roman" w:eastAsia="方正仿宋_GBK" w:cs="Times New Roman"/>
                <w:color w:val="000000"/>
                <w:sz w:val="28"/>
                <w:szCs w:val="28"/>
                <w:lang w:val="en-US"/>
              </w:rPr>
              <w:t>129.6</w:t>
            </w:r>
          </w:p>
        </w:tc>
        <w:tc>
          <w:tcPr>
            <w:tcW w:w="999"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85</w:t>
            </w:r>
          </w:p>
        </w:tc>
        <w:tc>
          <w:tcPr>
            <w:tcW w:w="1134"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eastAsia" w:eastAsia="方正仿宋_GBK" w:cs="Times New Roman"/>
                <w:b w:val="0"/>
                <w:bCs w:val="0"/>
                <w:i w:val="0"/>
                <w:color w:val="000000" w:themeColor="text1"/>
                <w:kern w:val="0"/>
                <w:sz w:val="28"/>
                <w:szCs w:val="28"/>
                <w:u w:val="none"/>
                <w:lang w:val="en-US" w:eastAsia="zh-CN" w:bidi="ar"/>
                <w14:textFill>
                  <w14:solidFill>
                    <w14:schemeClr w14:val="tx1"/>
                  </w14:solidFill>
                </w14:textFill>
              </w:rPr>
              <w:t>84.7225</w:t>
            </w:r>
          </w:p>
        </w:tc>
        <w:tc>
          <w:tcPr>
            <w:tcW w:w="1418"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eastAsia" w:eastAsia="方正仿宋_GBK" w:cs="Times New Roman"/>
                <w:b w:val="0"/>
                <w:bCs w:val="0"/>
                <w:i w:val="0"/>
                <w:color w:val="000000" w:themeColor="text1"/>
                <w:kern w:val="0"/>
                <w:sz w:val="28"/>
                <w:szCs w:val="28"/>
                <w:u w:val="none"/>
                <w:lang w:val="en-US" w:eastAsia="zh-CN" w:bidi="ar"/>
                <w14:textFill>
                  <w14:solidFill>
                    <w14:schemeClr w14:val="tx1"/>
                  </w14:solidFill>
                </w14:textFill>
              </w:rPr>
              <w:t>74.8584</w:t>
            </w:r>
          </w:p>
        </w:tc>
        <w:tc>
          <w:tcPr>
            <w:tcW w:w="1418"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35" w:type="dxa"/>
            <w:vMerge w:val="continue"/>
            <w:tcBorders>
              <w:tl2br w:val="nil"/>
              <w:tr2bl w:val="nil"/>
            </w:tcBorders>
            <w:vAlign w:val="center"/>
          </w:tcPr>
          <w:p>
            <w:pPr>
              <w:spacing w:line="300" w:lineRule="exact"/>
              <w:jc w:val="center"/>
              <w:rPr>
                <w:rFonts w:ascii="方正黑体_GBK" w:eastAsia="方正黑体_GBK"/>
                <w:color w:val="000000"/>
                <w:sz w:val="30"/>
                <w:szCs w:val="30"/>
              </w:rPr>
            </w:pPr>
          </w:p>
        </w:tc>
        <w:tc>
          <w:tcPr>
            <w:tcW w:w="1254" w:type="dxa"/>
            <w:vMerge w:val="continue"/>
            <w:tcBorders>
              <w:tl2br w:val="nil"/>
              <w:tr2bl w:val="nil"/>
            </w:tcBorders>
            <w:vAlign w:val="center"/>
          </w:tcPr>
          <w:p>
            <w:pPr>
              <w:spacing w:line="300" w:lineRule="exact"/>
              <w:jc w:val="center"/>
              <w:rPr>
                <w:rFonts w:ascii="方正黑体_GBK" w:eastAsia="方正黑体_GBK"/>
                <w:color w:val="000000"/>
                <w:sz w:val="30"/>
                <w:szCs w:val="30"/>
              </w:rPr>
            </w:pPr>
          </w:p>
        </w:tc>
        <w:tc>
          <w:tcPr>
            <w:tcW w:w="1280"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向  鸿</w:t>
            </w:r>
          </w:p>
        </w:tc>
        <w:tc>
          <w:tcPr>
            <w:tcW w:w="1431"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法学</w:t>
            </w:r>
          </w:p>
        </w:tc>
        <w:tc>
          <w:tcPr>
            <w:tcW w:w="1121"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t>55.5</w:t>
            </w:r>
          </w:p>
        </w:tc>
        <w:tc>
          <w:tcPr>
            <w:tcW w:w="1039"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t>68</w:t>
            </w:r>
          </w:p>
        </w:tc>
        <w:tc>
          <w:tcPr>
            <w:tcW w:w="1080"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123.5</w:t>
            </w:r>
          </w:p>
        </w:tc>
        <w:tc>
          <w:tcPr>
            <w:tcW w:w="999"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80.2</w:t>
            </w:r>
          </w:p>
        </w:tc>
        <w:tc>
          <w:tcPr>
            <w:tcW w:w="1134"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eastAsia" w:eastAsia="方正仿宋_GBK" w:cs="Times New Roman"/>
                <w:b w:val="0"/>
                <w:bCs w:val="0"/>
                <w:i w:val="0"/>
                <w:color w:val="000000" w:themeColor="text1"/>
                <w:kern w:val="0"/>
                <w:sz w:val="28"/>
                <w:szCs w:val="28"/>
                <w:u w:val="none"/>
                <w:lang w:val="en-US" w:eastAsia="zh-CN" w:bidi="ar"/>
                <w14:textFill>
                  <w14:solidFill>
                    <w14:schemeClr w14:val="tx1"/>
                  </w14:solidFill>
                </w14:textFill>
              </w:rPr>
              <w:t>90.2325</w:t>
            </w:r>
          </w:p>
        </w:tc>
        <w:tc>
          <w:tcPr>
            <w:tcW w:w="1418"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eastAsia" w:eastAsia="方正仿宋_GBK" w:cs="Times New Roman"/>
                <w:b w:val="0"/>
                <w:bCs w:val="0"/>
                <w:i w:val="0"/>
                <w:color w:val="000000" w:themeColor="text1"/>
                <w:kern w:val="0"/>
                <w:sz w:val="28"/>
                <w:szCs w:val="28"/>
                <w:u w:val="none"/>
                <w:lang w:val="en-US" w:eastAsia="zh-CN" w:bidi="ar"/>
                <w14:textFill>
                  <w14:solidFill>
                    <w14:schemeClr w14:val="tx1"/>
                  </w14:solidFill>
                </w14:textFill>
              </w:rPr>
              <w:t>72.4799</w:t>
            </w:r>
          </w:p>
        </w:tc>
        <w:tc>
          <w:tcPr>
            <w:tcW w:w="1418"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35" w:type="dxa"/>
            <w:vMerge w:val="continue"/>
            <w:tcBorders>
              <w:tl2br w:val="nil"/>
              <w:tr2bl w:val="nil"/>
            </w:tcBorders>
            <w:vAlign w:val="center"/>
          </w:tcPr>
          <w:p>
            <w:pPr>
              <w:spacing w:line="300" w:lineRule="exact"/>
              <w:jc w:val="center"/>
              <w:rPr>
                <w:rFonts w:ascii="方正黑体_GBK" w:eastAsia="方正黑体_GBK"/>
                <w:color w:val="000000"/>
                <w:sz w:val="30"/>
                <w:szCs w:val="30"/>
              </w:rPr>
            </w:pPr>
          </w:p>
        </w:tc>
        <w:tc>
          <w:tcPr>
            <w:tcW w:w="1254" w:type="dxa"/>
            <w:vMerge w:val="continue"/>
            <w:tcBorders>
              <w:tl2br w:val="nil"/>
              <w:tr2bl w:val="nil"/>
            </w:tcBorders>
            <w:vAlign w:val="center"/>
          </w:tcPr>
          <w:p>
            <w:pPr>
              <w:spacing w:line="300" w:lineRule="exact"/>
              <w:jc w:val="center"/>
              <w:rPr>
                <w:rFonts w:ascii="方正黑体_GBK" w:eastAsia="方正黑体_GBK"/>
                <w:color w:val="000000"/>
                <w:sz w:val="30"/>
                <w:szCs w:val="30"/>
              </w:rPr>
            </w:pPr>
          </w:p>
        </w:tc>
        <w:tc>
          <w:tcPr>
            <w:tcW w:w="1280"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i w:val="0"/>
                <w:color w:val="000000"/>
                <w:kern w:val="0"/>
                <w:sz w:val="28"/>
                <w:szCs w:val="28"/>
                <w:u w:val="none"/>
                <w:lang w:val="en-US" w:eastAsia="zh-CN" w:bidi="ar"/>
              </w:rPr>
              <w:t>罗俊杰</w:t>
            </w:r>
          </w:p>
        </w:tc>
        <w:tc>
          <w:tcPr>
            <w:tcW w:w="1431"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汉语言</w:t>
            </w:r>
          </w:p>
          <w:p>
            <w:pPr>
              <w:spacing w:line="300" w:lineRule="exact"/>
              <w:jc w:val="center"/>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文学</w:t>
            </w:r>
          </w:p>
        </w:tc>
        <w:tc>
          <w:tcPr>
            <w:tcW w:w="1121"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t>57.9</w:t>
            </w:r>
          </w:p>
        </w:tc>
        <w:tc>
          <w:tcPr>
            <w:tcW w:w="1039"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t>58</w:t>
            </w:r>
          </w:p>
        </w:tc>
        <w:tc>
          <w:tcPr>
            <w:tcW w:w="1080"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115.9</w:t>
            </w:r>
          </w:p>
        </w:tc>
        <w:tc>
          <w:tcPr>
            <w:tcW w:w="999"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83</w:t>
            </w:r>
          </w:p>
        </w:tc>
        <w:tc>
          <w:tcPr>
            <w:tcW w:w="1134"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eastAsia" w:eastAsia="方正仿宋_GBK" w:cs="Times New Roman"/>
                <w:b w:val="0"/>
                <w:bCs w:val="0"/>
                <w:i w:val="0"/>
                <w:color w:val="000000" w:themeColor="text1"/>
                <w:kern w:val="0"/>
                <w:sz w:val="28"/>
                <w:szCs w:val="28"/>
                <w:u w:val="none"/>
                <w:lang w:val="en-US" w:eastAsia="zh-CN" w:bidi="ar"/>
                <w14:textFill>
                  <w14:solidFill>
                    <w14:schemeClr w14:val="tx1"/>
                  </w14:solidFill>
                </w14:textFill>
              </w:rPr>
              <w:t>90.18</w:t>
            </w:r>
            <w:r>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t xml:space="preserve"> </w:t>
            </w:r>
          </w:p>
        </w:tc>
        <w:tc>
          <w:tcPr>
            <w:tcW w:w="1418" w:type="dxa"/>
            <w:tcBorders>
              <w:tl2br w:val="nil"/>
              <w:tr2bl w:val="nil"/>
            </w:tcBorders>
            <w:vAlign w:val="center"/>
          </w:tcPr>
          <w:p>
            <w:pPr>
              <w:keepNext w:val="0"/>
              <w:keepLines w:val="0"/>
              <w:pageBreakBefore w:val="0"/>
              <w:widowControl/>
              <w:suppressLineNumbers w:val="0"/>
              <w:wordWrap/>
              <w:overflowPunct/>
              <w:topLinePunct w:val="0"/>
              <w:autoSpaceDE/>
              <w:autoSpaceDN/>
              <w:bidi w:val="0"/>
              <w:adjustRightInd/>
              <w:snapToGrid/>
              <w:spacing w:line="500" w:lineRule="exact"/>
              <w:ind w:left="0" w:leftChars="0" w:right="0" w:rightChars="0"/>
              <w:jc w:val="center"/>
              <w:textAlignment w:val="center"/>
              <w:outlineLvl w:val="9"/>
              <w:rPr>
                <w:rFonts w:hint="default" w:ascii="Times New Roman" w:hAnsi="Times New Roman" w:eastAsia="方正仿宋_GBK" w:cs="Times New Roman"/>
                <w:b w:val="0"/>
                <w:bCs w:val="0"/>
                <w:i w:val="0"/>
                <w:color w:val="000000" w:themeColor="text1"/>
                <w:kern w:val="0"/>
                <w:sz w:val="28"/>
                <w:szCs w:val="28"/>
                <w:u w:val="none"/>
                <w:lang w:val="en-US" w:eastAsia="zh-CN" w:bidi="ar"/>
                <w14:textFill>
                  <w14:solidFill>
                    <w14:schemeClr w14:val="tx1"/>
                  </w14:solidFill>
                </w14:textFill>
              </w:rPr>
            </w:pPr>
            <w:r>
              <w:rPr>
                <w:rFonts w:hint="eastAsia" w:eastAsia="方正仿宋_GBK" w:cs="Times New Roman"/>
                <w:b w:val="0"/>
                <w:bCs w:val="0"/>
                <w:i w:val="0"/>
                <w:color w:val="000000" w:themeColor="text1"/>
                <w:kern w:val="0"/>
                <w:sz w:val="28"/>
                <w:szCs w:val="28"/>
                <w:u w:val="none"/>
                <w:lang w:val="en-US" w:eastAsia="zh-CN" w:bidi="ar"/>
                <w14:textFill>
                  <w14:solidFill>
                    <w14:schemeClr w14:val="tx1"/>
                  </w14:solidFill>
                </w14:textFill>
              </w:rPr>
              <w:t>71.5520</w:t>
            </w:r>
          </w:p>
        </w:tc>
        <w:tc>
          <w:tcPr>
            <w:tcW w:w="1418" w:type="dxa"/>
            <w:tcBorders>
              <w:tl2br w:val="nil"/>
              <w:tr2bl w:val="nil"/>
            </w:tcBorders>
            <w:vAlign w:val="center"/>
          </w:tcPr>
          <w:p>
            <w:pPr>
              <w:spacing w:line="300" w:lineRule="exact"/>
              <w:jc w:val="center"/>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3</w:t>
            </w:r>
          </w:p>
        </w:tc>
      </w:tr>
    </w:tbl>
    <w:p>
      <w:pPr>
        <w:spacing w:line="240" w:lineRule="exact"/>
        <w:rPr>
          <w:rFonts w:ascii="仿宋_GB2312"/>
          <w:color w:val="000000"/>
          <w:sz w:val="28"/>
          <w:szCs w:val="28"/>
        </w:rPr>
      </w:pPr>
    </w:p>
    <w:p>
      <w:pPr>
        <w:spacing w:line="560" w:lineRule="exact"/>
        <w:ind w:left="560" w:hanging="560" w:hangingChars="200"/>
        <w:rPr>
          <w:rFonts w:ascii="方正楷体_GBK" w:eastAsia="方正楷体_GBK" w:cs="仿宋_GB2312"/>
          <w:color w:val="000000"/>
          <w:sz w:val="28"/>
          <w:szCs w:val="28"/>
        </w:rPr>
      </w:pPr>
      <w:r>
        <w:rPr>
          <w:rFonts w:hint="eastAsia" w:ascii="方正楷体_GBK" w:eastAsia="方正楷体_GBK" w:cs="仿宋_GB2312"/>
          <w:color w:val="000000"/>
          <w:sz w:val="28"/>
          <w:szCs w:val="28"/>
        </w:rPr>
        <w:t>注：</w:t>
      </w:r>
      <w:r>
        <w:rPr>
          <w:rFonts w:hint="eastAsia" w:ascii="方正楷体_GBK" w:eastAsia="方正楷体_GBK" w:cs="仿宋_GB2312"/>
          <w:color w:val="000000"/>
          <w:sz w:val="28"/>
          <w:szCs w:val="28"/>
          <w:lang w:val="en-US" w:eastAsia="zh-CN"/>
        </w:rPr>
        <w:t>综合</w:t>
      </w:r>
      <w:r>
        <w:rPr>
          <w:rFonts w:hint="eastAsia" w:ascii="方正楷体_GBK" w:eastAsia="方正楷体_GBK" w:cs="仿宋_GB2312"/>
          <w:color w:val="000000"/>
          <w:sz w:val="28"/>
          <w:szCs w:val="28"/>
        </w:rPr>
        <w:t>成绩计算公式为：</w:t>
      </w:r>
      <w:r>
        <w:rPr>
          <w:rFonts w:hint="eastAsia" w:ascii="方正黑体_GBK" w:hAnsi="方正黑体_GBK" w:eastAsia="方正黑体_GBK" w:cs="方正黑体_GBK"/>
          <w:b w:val="0"/>
          <w:bCs w:val="0"/>
          <w:color w:val="000000"/>
          <w:kern w:val="0"/>
          <w:sz w:val="32"/>
          <w:szCs w:val="32"/>
          <w:lang w:val="en-US" w:eastAsia="zh-CN" w:bidi="ar"/>
        </w:rPr>
        <w:t>综合</w:t>
      </w:r>
      <w:r>
        <w:rPr>
          <w:rFonts w:hint="eastAsia" w:ascii="方正黑体_GBK" w:hAnsi="方正黑体_GBK" w:eastAsia="方正黑体_GBK" w:cs="方正黑体_GBK"/>
          <w:b w:val="0"/>
          <w:bCs w:val="0"/>
          <w:color w:val="000000"/>
          <w:kern w:val="0"/>
          <w:sz w:val="32"/>
          <w:szCs w:val="32"/>
          <w:lang w:bidi="ar"/>
        </w:rPr>
        <w:t>成绩=笔试</w:t>
      </w:r>
      <w:r>
        <w:rPr>
          <w:rFonts w:hint="eastAsia" w:ascii="方正黑体_GBK" w:hAnsi="方正黑体_GBK" w:eastAsia="方正黑体_GBK" w:cs="方正黑体_GBK"/>
          <w:b w:val="0"/>
          <w:bCs w:val="0"/>
          <w:color w:val="000000"/>
          <w:kern w:val="0"/>
          <w:sz w:val="32"/>
          <w:szCs w:val="32"/>
          <w:lang w:eastAsia="zh-CN" w:bidi="ar"/>
        </w:rPr>
        <w:t>总</w:t>
      </w:r>
      <w:r>
        <w:rPr>
          <w:rFonts w:hint="eastAsia" w:ascii="方正黑体_GBK" w:hAnsi="方正黑体_GBK" w:eastAsia="方正黑体_GBK" w:cs="方正黑体_GBK"/>
          <w:b w:val="0"/>
          <w:bCs w:val="0"/>
          <w:color w:val="000000"/>
          <w:kern w:val="0"/>
          <w:sz w:val="32"/>
          <w:szCs w:val="32"/>
          <w:lang w:bidi="ar"/>
        </w:rPr>
        <w:t>成绩÷2×50%+面试成绩×35%+考察得分×15%。</w:t>
      </w:r>
      <w:r>
        <w:rPr>
          <w:rFonts w:hint="eastAsia" w:ascii="方正楷体_GBK" w:eastAsia="方正楷体_GBK" w:cs="仿宋_GB2312"/>
          <w:color w:val="000000"/>
          <w:sz w:val="28"/>
          <w:szCs w:val="28"/>
        </w:rPr>
        <w:t xml:space="preserve"> </w:t>
      </w:r>
    </w:p>
    <w:p>
      <w:pPr>
        <w:ind w:right="560"/>
        <w:jc w:val="center"/>
        <w:rPr>
          <w:rFonts w:ascii="方正楷体_GBK" w:eastAsia="方正楷体_GBK" w:cs="宋体"/>
          <w:color w:val="000000"/>
          <w:sz w:val="28"/>
          <w:szCs w:val="28"/>
        </w:rPr>
      </w:pPr>
      <w:r>
        <w:rPr>
          <w:rFonts w:ascii="方正楷体_GBK" w:eastAsia="方正楷体_GBK" w:cs="宋体"/>
          <w:color w:val="000000"/>
          <w:sz w:val="28"/>
          <w:szCs w:val="28"/>
        </w:rPr>
        <w:t xml:space="preserve">                                                                  </w:t>
      </w:r>
    </w:p>
    <w:p>
      <w:pPr>
        <w:ind w:right="560"/>
        <w:jc w:val="center"/>
        <w:rPr>
          <w:rFonts w:ascii="方正楷体_GBK" w:eastAsia="方正楷体_GBK" w:cs="宋体"/>
          <w:color w:val="000000"/>
          <w:sz w:val="32"/>
          <w:szCs w:val="32"/>
        </w:rPr>
      </w:pPr>
      <w:r>
        <w:rPr>
          <w:rFonts w:ascii="方正楷体_GBK" w:eastAsia="方正楷体_GBK" w:cs="宋体"/>
          <w:color w:val="000000"/>
          <w:sz w:val="28"/>
          <w:szCs w:val="28"/>
        </w:rPr>
        <w:t xml:space="preserve">                                                            </w:t>
      </w:r>
      <w:r>
        <w:rPr>
          <w:rFonts w:hint="eastAsia" w:ascii="方正楷体_GBK" w:eastAsia="方正楷体_GBK" w:cs="宋体"/>
          <w:color w:val="000000"/>
          <w:sz w:val="28"/>
          <w:szCs w:val="28"/>
          <w:lang w:val="en-US" w:eastAsia="zh-CN"/>
        </w:rPr>
        <w:t xml:space="preserve">     </w:t>
      </w:r>
      <w:r>
        <w:rPr>
          <w:rFonts w:ascii="方正楷体_GBK" w:eastAsia="方正楷体_GBK" w:cs="宋体"/>
          <w:color w:val="000000"/>
          <w:sz w:val="28"/>
          <w:szCs w:val="28"/>
        </w:rPr>
        <w:t xml:space="preserve"> </w:t>
      </w:r>
      <w:r>
        <w:rPr>
          <w:rFonts w:hint="eastAsia" w:ascii="方正楷体_GBK" w:eastAsia="方正楷体_GBK" w:cs="宋体"/>
          <w:color w:val="000000"/>
          <w:sz w:val="28"/>
          <w:szCs w:val="28"/>
          <w:lang w:val="en-US" w:eastAsia="zh-CN"/>
        </w:rPr>
        <w:t xml:space="preserve">  </w:t>
      </w:r>
      <w:r>
        <w:rPr>
          <w:rFonts w:hint="eastAsia" w:ascii="方正楷体_GBK" w:eastAsia="方正楷体_GBK" w:cs="宋体"/>
          <w:color w:val="000000"/>
          <w:sz w:val="32"/>
          <w:szCs w:val="32"/>
        </w:rPr>
        <w:t>大渡口区</w:t>
      </w:r>
      <w:r>
        <w:rPr>
          <w:rFonts w:ascii="方正楷体_GBK" w:eastAsia="方正楷体_GBK" w:cs="宋体"/>
          <w:color w:val="000000"/>
          <w:sz w:val="32"/>
          <w:szCs w:val="32"/>
        </w:rPr>
        <w:t>委组织部</w:t>
      </w:r>
    </w:p>
    <w:p>
      <w:pPr>
        <w:ind w:right="560"/>
        <w:jc w:val="center"/>
        <w:rPr>
          <w:rFonts w:ascii="方正楷体_GBK" w:eastAsia="方正楷体_GBK" w:cs="宋体"/>
          <w:color w:val="000000"/>
          <w:sz w:val="32"/>
          <w:szCs w:val="32"/>
        </w:rPr>
        <w:sectPr>
          <w:pgSz w:w="16838" w:h="11906" w:orient="landscape"/>
          <w:pgMar w:top="1440" w:right="1440" w:bottom="1440" w:left="1440" w:header="851" w:footer="992" w:gutter="0"/>
          <w:pgBorders>
            <w:top w:val="none" w:sz="0" w:space="0"/>
            <w:left w:val="none" w:sz="0" w:space="0"/>
            <w:bottom w:val="none" w:sz="0" w:space="0"/>
            <w:right w:val="none" w:sz="0" w:space="0"/>
          </w:pgBorders>
          <w:cols w:space="425" w:num="1"/>
          <w:docGrid w:type="lines" w:linePitch="312" w:charSpace="0"/>
        </w:sectPr>
      </w:pPr>
      <w:r>
        <w:rPr>
          <w:rFonts w:ascii="方正楷体_GBK" w:eastAsia="方正楷体_GBK" w:cs="宋体"/>
          <w:color w:val="000000"/>
          <w:sz w:val="32"/>
          <w:szCs w:val="32"/>
        </w:rPr>
        <w:t xml:space="preserve">                                                               </w:t>
      </w:r>
      <w:r>
        <w:rPr>
          <w:rFonts w:hint="eastAsia" w:ascii="方正楷体_GBK" w:eastAsia="方正楷体_GBK" w:cs="宋体"/>
          <w:color w:val="000000"/>
          <w:sz w:val="32"/>
          <w:szCs w:val="32"/>
        </w:rPr>
        <w:t>202</w:t>
      </w:r>
      <w:r>
        <w:rPr>
          <w:rFonts w:hint="eastAsia" w:ascii="方正楷体_GBK" w:eastAsia="方正楷体_GBK" w:cs="宋体"/>
          <w:color w:val="000000"/>
          <w:sz w:val="32"/>
          <w:szCs w:val="32"/>
          <w:lang w:val="en-US" w:eastAsia="zh-CN"/>
        </w:rPr>
        <w:t>3</w:t>
      </w:r>
      <w:r>
        <w:rPr>
          <w:rFonts w:hint="eastAsia" w:ascii="方正楷体_GBK" w:eastAsia="方正楷体_GBK" w:cs="宋体"/>
          <w:color w:val="000000"/>
          <w:sz w:val="32"/>
          <w:szCs w:val="32"/>
        </w:rPr>
        <w:t>年</w:t>
      </w:r>
      <w:r>
        <w:rPr>
          <w:rFonts w:hint="eastAsia" w:ascii="方正楷体_GBK" w:eastAsia="方正楷体_GBK" w:cs="宋体"/>
          <w:color w:val="000000"/>
          <w:sz w:val="32"/>
          <w:szCs w:val="32"/>
          <w:lang w:val="en-US" w:eastAsia="zh-CN"/>
        </w:rPr>
        <w:t>4</w:t>
      </w:r>
      <w:r>
        <w:rPr>
          <w:rFonts w:hint="eastAsia" w:ascii="方正楷体_GBK" w:eastAsia="方正楷体_GBK" w:cs="宋体"/>
          <w:color w:val="000000"/>
          <w:sz w:val="32"/>
          <w:szCs w:val="32"/>
        </w:rPr>
        <w:t>月</w:t>
      </w:r>
      <w:r>
        <w:rPr>
          <w:rFonts w:hint="eastAsia" w:ascii="方正楷体_GBK" w:eastAsia="方正楷体_GBK" w:cs="宋体"/>
          <w:color w:val="000000"/>
          <w:sz w:val="32"/>
          <w:szCs w:val="32"/>
          <w:lang w:val="en-US" w:eastAsia="zh-CN"/>
        </w:rPr>
        <w:t>24</w:t>
      </w:r>
      <w:r>
        <w:rPr>
          <w:rFonts w:hint="eastAsia" w:ascii="方正楷体_GBK" w:eastAsia="方正楷体_GBK" w:cs="宋体"/>
          <w:color w:val="000000"/>
          <w:sz w:val="32"/>
          <w:szCs w:val="32"/>
        </w:rPr>
        <w:t>日</w:t>
      </w:r>
    </w:p>
    <w:p>
      <w:pPr>
        <w:spacing w:line="600" w:lineRule="exact"/>
        <w:rPr>
          <w:rFonts w:ascii="方正黑体_GBK" w:eastAsia="方正黑体_GBK"/>
          <w:sz w:val="33"/>
          <w:szCs w:val="33"/>
        </w:rPr>
      </w:pPr>
    </w:p>
    <w:p>
      <w:pPr>
        <w:spacing w:line="600" w:lineRule="exact"/>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大渡口区从优秀村（社区）干部中招录</w:t>
      </w:r>
    </w:p>
    <w:p>
      <w:pPr>
        <w:spacing w:line="600" w:lineRule="exact"/>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公务员参加体检人员公布表</w:t>
      </w:r>
    </w:p>
    <w:p>
      <w:pPr>
        <w:spacing w:line="600" w:lineRule="exact"/>
        <w:jc w:val="center"/>
        <w:rPr>
          <w:rFonts w:ascii="方正小标宋简体" w:eastAsia="方正小标宋简体" w:cs="宋体"/>
          <w:bCs/>
          <w:color w:val="000000"/>
          <w:sz w:val="44"/>
          <w:szCs w:val="44"/>
        </w:rPr>
      </w:pPr>
    </w:p>
    <w:p>
      <w:pPr>
        <w:spacing w:line="440" w:lineRule="exact"/>
        <w:ind w:right="84" w:rightChars="40" w:firstLine="601"/>
        <w:rPr>
          <w:rFonts w:ascii="方正楷体_GBK" w:eastAsia="方正楷体_GBK" w:cs="仿宋_GB2312"/>
          <w:color w:val="000000"/>
          <w:sz w:val="28"/>
          <w:szCs w:val="28"/>
        </w:rPr>
      </w:pPr>
      <w:r>
        <w:rPr>
          <w:rFonts w:hint="eastAsia" w:ascii="方正楷体_GBK" w:eastAsia="方正楷体_GBK" w:cs="仿宋_GB2312"/>
          <w:color w:val="000000"/>
          <w:sz w:val="28"/>
          <w:szCs w:val="28"/>
        </w:rPr>
        <w:t>根据公告规定，体检人选按报考同一职位考生综合成绩从高分到低分以招考指标等额比例确定。现将进入体检的人员公布如下：</w:t>
      </w:r>
    </w:p>
    <w:tbl>
      <w:tblPr>
        <w:tblStyle w:val="5"/>
        <w:tblW w:w="906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5"/>
        <w:gridCol w:w="1449"/>
        <w:gridCol w:w="1304"/>
        <w:gridCol w:w="2520"/>
        <w:gridCol w:w="1395"/>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eastAsia="方正黑体_GBK"/>
                <w:color w:val="000000"/>
                <w:sz w:val="24"/>
                <w:szCs w:val="24"/>
              </w:rPr>
            </w:pPr>
            <w:r>
              <w:rPr>
                <w:rFonts w:hint="eastAsia" w:ascii="方正黑体_GBK" w:eastAsia="方正黑体_GBK"/>
                <w:color w:val="000000"/>
                <w:sz w:val="24"/>
                <w:szCs w:val="24"/>
              </w:rPr>
              <w:t>招录</w:t>
            </w:r>
          </w:p>
          <w:p>
            <w:pPr>
              <w:spacing w:line="320" w:lineRule="exact"/>
              <w:jc w:val="center"/>
              <w:rPr>
                <w:rFonts w:ascii="方正黑体_GBK" w:eastAsia="方正黑体_GBK"/>
                <w:color w:val="000000"/>
                <w:sz w:val="24"/>
                <w:szCs w:val="24"/>
              </w:rPr>
            </w:pPr>
            <w:r>
              <w:rPr>
                <w:rFonts w:hint="eastAsia" w:ascii="方正黑体_GBK" w:eastAsia="方正黑体_GBK"/>
                <w:color w:val="000000"/>
                <w:sz w:val="24"/>
                <w:szCs w:val="24"/>
              </w:rPr>
              <w:t>单位</w:t>
            </w:r>
          </w:p>
        </w:tc>
        <w:tc>
          <w:tcPr>
            <w:tcW w:w="14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eastAsia="方正黑体_GBK"/>
                <w:color w:val="000000"/>
                <w:sz w:val="24"/>
                <w:szCs w:val="24"/>
              </w:rPr>
            </w:pPr>
            <w:r>
              <w:rPr>
                <w:rFonts w:hint="eastAsia" w:ascii="方正黑体_GBK" w:eastAsia="方正黑体_GBK"/>
                <w:color w:val="000000"/>
                <w:sz w:val="24"/>
                <w:szCs w:val="24"/>
              </w:rPr>
              <w:t>招考</w:t>
            </w:r>
          </w:p>
          <w:p>
            <w:pPr>
              <w:spacing w:line="320" w:lineRule="exact"/>
              <w:jc w:val="center"/>
              <w:rPr>
                <w:rFonts w:ascii="方正黑体_GBK" w:eastAsia="方正黑体_GBK"/>
                <w:color w:val="000000"/>
                <w:sz w:val="24"/>
                <w:szCs w:val="24"/>
              </w:rPr>
            </w:pPr>
            <w:r>
              <w:rPr>
                <w:rFonts w:hint="eastAsia" w:ascii="方正黑体_GBK" w:eastAsia="方正黑体_GBK"/>
                <w:color w:val="000000"/>
                <w:sz w:val="24"/>
                <w:szCs w:val="24"/>
              </w:rPr>
              <w:t>职位</w:t>
            </w:r>
          </w:p>
        </w:tc>
        <w:tc>
          <w:tcPr>
            <w:tcW w:w="13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eastAsia="方正黑体_GBK" w:cs="宋体"/>
                <w:color w:val="000000"/>
                <w:sz w:val="24"/>
                <w:szCs w:val="24"/>
              </w:rPr>
            </w:pPr>
            <w:r>
              <w:rPr>
                <w:rFonts w:hint="eastAsia" w:ascii="方正黑体_GBK" w:eastAsia="方正黑体_GBK" w:cs="宋体"/>
                <w:color w:val="000000"/>
                <w:sz w:val="24"/>
                <w:szCs w:val="24"/>
              </w:rPr>
              <w:t>体检人员</w:t>
            </w:r>
          </w:p>
          <w:p>
            <w:pPr>
              <w:spacing w:line="320" w:lineRule="exact"/>
              <w:jc w:val="center"/>
              <w:rPr>
                <w:rFonts w:ascii="方正黑体_GBK" w:eastAsia="方正黑体_GBK"/>
                <w:color w:val="000000"/>
                <w:sz w:val="24"/>
                <w:szCs w:val="24"/>
              </w:rPr>
            </w:pPr>
            <w:r>
              <w:rPr>
                <w:rFonts w:hint="eastAsia" w:ascii="方正黑体_GBK" w:eastAsia="方正黑体_GBK" w:cs="宋体"/>
                <w:color w:val="000000"/>
                <w:sz w:val="24"/>
                <w:szCs w:val="24"/>
              </w:rPr>
              <w:t>姓名</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eastAsia="方正黑体_GBK"/>
                <w:color w:val="000000"/>
                <w:sz w:val="24"/>
                <w:szCs w:val="24"/>
              </w:rPr>
            </w:pPr>
            <w:r>
              <w:rPr>
                <w:rFonts w:hint="eastAsia" w:ascii="方正黑体_GBK" w:eastAsia="方正黑体_GBK"/>
                <w:color w:val="000000"/>
                <w:sz w:val="24"/>
                <w:szCs w:val="24"/>
              </w:rPr>
              <w:t>所学专业</w:t>
            </w:r>
          </w:p>
        </w:tc>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eastAsia="方正黑体_GBK" w:cs="宋体"/>
                <w:color w:val="000000"/>
                <w:sz w:val="24"/>
                <w:szCs w:val="24"/>
              </w:rPr>
            </w:pPr>
            <w:r>
              <w:rPr>
                <w:rFonts w:hint="eastAsia" w:ascii="方正黑体_GBK" w:eastAsia="方正黑体_GBK" w:cs="宋体"/>
                <w:color w:val="000000"/>
                <w:sz w:val="24"/>
                <w:szCs w:val="24"/>
              </w:rPr>
              <w:t>总成绩</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eastAsia="方正黑体_GBK"/>
                <w:color w:val="000000"/>
                <w:sz w:val="24"/>
                <w:szCs w:val="24"/>
              </w:rPr>
            </w:pPr>
            <w:r>
              <w:rPr>
                <w:rFonts w:hint="eastAsia" w:ascii="方正黑体_GBK" w:eastAsia="方正黑体_GBK" w:cs="宋体"/>
                <w:color w:val="000000"/>
                <w:sz w:val="24"/>
                <w:szCs w:val="24"/>
              </w:rPr>
              <w:t>名次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大渡口区</w:t>
            </w:r>
          </w:p>
        </w:tc>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综合管理3</w:t>
            </w:r>
          </w:p>
        </w:tc>
        <w:tc>
          <w:tcPr>
            <w:tcW w:w="13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赖莹影</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汉语言文学</w:t>
            </w:r>
          </w:p>
        </w:tc>
        <w:tc>
          <w:tcPr>
            <w:tcW w:w="13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color w:val="000000"/>
                <w:sz w:val="24"/>
                <w:szCs w:val="24"/>
              </w:rPr>
            </w:pPr>
            <w:r>
              <w:rPr>
                <w:rFonts w:hint="eastAsia" w:eastAsia="方正仿宋_GBK" w:cs="Times New Roman"/>
                <w:b w:val="0"/>
                <w:bCs w:val="0"/>
                <w:i w:val="0"/>
                <w:color w:val="000000" w:themeColor="text1"/>
                <w:kern w:val="0"/>
                <w:sz w:val="28"/>
                <w:szCs w:val="28"/>
                <w:u w:val="none"/>
                <w:lang w:val="en-US" w:eastAsia="zh-CN" w:bidi="ar"/>
                <w14:textFill>
                  <w14:solidFill>
                    <w14:schemeClr w14:val="tx1"/>
                  </w14:solidFill>
                </w14:textFill>
              </w:rPr>
              <w:t>74.8584</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color w:val="000000"/>
                <w:sz w:val="28"/>
                <w:szCs w:val="28"/>
              </w:rPr>
            </w:pPr>
          </w:p>
        </w:tc>
      </w:tr>
    </w:tbl>
    <w:p>
      <w:pPr>
        <w:spacing w:line="440" w:lineRule="exact"/>
        <w:ind w:firstLine="480" w:firstLineChars="200"/>
        <w:rPr>
          <w:rFonts w:ascii="方正楷体_GBK" w:eastAsia="方正楷体_GBK"/>
          <w:color w:val="000000"/>
          <w:sz w:val="24"/>
          <w:szCs w:val="24"/>
          <w:highlight w:val="none"/>
        </w:rPr>
      </w:pPr>
      <w:r>
        <w:rPr>
          <w:rFonts w:hint="eastAsia" w:ascii="方正楷体_GBK" w:eastAsia="方正楷体_GBK" w:cs="宋体"/>
          <w:color w:val="000000"/>
          <w:sz w:val="24"/>
          <w:szCs w:val="24"/>
          <w:highlight w:val="none"/>
        </w:rPr>
        <w:t>请以上考生于</w:t>
      </w:r>
      <w:r>
        <w:rPr>
          <w:rFonts w:hint="eastAsia" w:ascii="方正楷体_GBK" w:eastAsia="方正楷体_GBK" w:cs="宋体"/>
          <w:color w:val="000000"/>
          <w:sz w:val="24"/>
          <w:szCs w:val="24"/>
          <w:highlight w:val="none"/>
          <w:lang w:val="en-US" w:eastAsia="zh-CN"/>
        </w:rPr>
        <w:t>4</w:t>
      </w:r>
      <w:r>
        <w:rPr>
          <w:rFonts w:hint="eastAsia" w:ascii="方正楷体_GBK" w:eastAsia="方正楷体_GBK" w:cs="宋体"/>
          <w:color w:val="000000"/>
          <w:sz w:val="24"/>
          <w:szCs w:val="24"/>
          <w:highlight w:val="none"/>
        </w:rPr>
        <w:t>月</w:t>
      </w:r>
      <w:r>
        <w:rPr>
          <w:rFonts w:hint="eastAsia" w:ascii="方正楷体_GBK" w:eastAsia="方正楷体_GBK" w:cs="宋体"/>
          <w:color w:val="000000"/>
          <w:sz w:val="24"/>
          <w:szCs w:val="24"/>
          <w:highlight w:val="none"/>
          <w:lang w:val="en-US" w:eastAsia="zh-CN"/>
        </w:rPr>
        <w:t>25</w:t>
      </w:r>
      <w:r>
        <w:rPr>
          <w:rFonts w:hint="eastAsia" w:ascii="方正楷体_GBK" w:eastAsia="方正楷体_GBK" w:cs="宋体"/>
          <w:color w:val="000000"/>
          <w:sz w:val="24"/>
          <w:szCs w:val="24"/>
          <w:highlight w:val="none"/>
        </w:rPr>
        <w:t>日</w:t>
      </w:r>
      <w:r>
        <w:rPr>
          <w:rFonts w:hint="eastAsia" w:ascii="方正楷体_GBK" w:eastAsia="方正楷体_GBK" w:cs="宋体"/>
          <w:color w:val="000000"/>
          <w:sz w:val="24"/>
          <w:szCs w:val="24"/>
          <w:highlight w:val="none"/>
          <w:lang w:val="en-US" w:eastAsia="zh-CN"/>
        </w:rPr>
        <w:t>按通知要求</w:t>
      </w:r>
      <w:r>
        <w:rPr>
          <w:rFonts w:hint="eastAsia" w:ascii="方正楷体_GBK" w:eastAsia="方正楷体_GBK" w:cs="宋体"/>
          <w:color w:val="000000"/>
          <w:sz w:val="24"/>
          <w:szCs w:val="24"/>
          <w:highlight w:val="none"/>
        </w:rPr>
        <w:t>准时到</w:t>
      </w:r>
      <w:r>
        <w:rPr>
          <w:rFonts w:hint="eastAsia" w:ascii="方正楷体_GBK" w:eastAsia="方正楷体_GBK" w:cs="宋体"/>
          <w:color w:val="000000"/>
          <w:sz w:val="24"/>
          <w:szCs w:val="24"/>
          <w:highlight w:val="none"/>
          <w:lang w:val="en-US" w:eastAsia="zh-CN"/>
        </w:rPr>
        <w:t>区政府办公大楼广场</w:t>
      </w:r>
      <w:r>
        <w:rPr>
          <w:rFonts w:hint="eastAsia" w:ascii="方正楷体_GBK" w:eastAsia="方正楷体_GBK" w:cs="宋体"/>
          <w:color w:val="000000"/>
          <w:sz w:val="24"/>
          <w:szCs w:val="24"/>
          <w:highlight w:val="none"/>
        </w:rPr>
        <w:t>集中，统一参加体检。</w:t>
      </w:r>
    </w:p>
    <w:p>
      <w:pPr>
        <w:spacing w:line="440" w:lineRule="exact"/>
        <w:rPr>
          <w:rFonts w:ascii="方正楷体_GBK" w:eastAsia="方正楷体_GBK"/>
          <w:color w:val="000000"/>
          <w:sz w:val="24"/>
          <w:szCs w:val="24"/>
        </w:rPr>
      </w:pPr>
    </w:p>
    <w:p>
      <w:pPr>
        <w:ind w:right="560"/>
        <w:jc w:val="center"/>
        <w:rPr>
          <w:rFonts w:hint="eastAsia" w:ascii="方正楷体_GBK" w:eastAsia="方正楷体_GBK" w:cs="宋体"/>
          <w:color w:val="000000"/>
          <w:sz w:val="32"/>
          <w:szCs w:val="32"/>
        </w:rPr>
      </w:pPr>
      <w:r>
        <w:rPr>
          <w:rFonts w:ascii="方正楷体_GBK" w:eastAsia="方正楷体_GBK" w:cs="宋体"/>
          <w:color w:val="000000"/>
          <w:sz w:val="28"/>
          <w:szCs w:val="28"/>
        </w:rPr>
        <w:t xml:space="preserve">                                </w:t>
      </w:r>
      <w:r>
        <w:rPr>
          <w:rFonts w:hint="eastAsia" w:ascii="方正楷体_GBK" w:eastAsia="方正楷体_GBK" w:cs="宋体"/>
          <w:color w:val="000000"/>
          <w:sz w:val="32"/>
          <w:szCs w:val="32"/>
        </w:rPr>
        <w:t>大渡口区委组织部</w:t>
      </w:r>
    </w:p>
    <w:p>
      <w:pPr>
        <w:ind w:right="560"/>
        <w:jc w:val="center"/>
        <w:rPr>
          <w:rFonts w:hint="eastAsia" w:ascii="方正楷体_GBK" w:eastAsia="方正楷体_GBK" w:cs="宋体"/>
          <w:color w:val="000000"/>
          <w:sz w:val="32"/>
          <w:szCs w:val="32"/>
        </w:rPr>
      </w:pPr>
      <w:r>
        <w:rPr>
          <w:rFonts w:hint="eastAsia" w:ascii="方正楷体_GBK" w:eastAsia="方正楷体_GBK" w:cs="宋体"/>
          <w:color w:val="000000"/>
          <w:sz w:val="32"/>
          <w:szCs w:val="32"/>
          <w:lang w:val="en-US" w:eastAsia="zh-CN"/>
        </w:rPr>
        <w:t xml:space="preserve">                             </w:t>
      </w:r>
      <w:r>
        <w:rPr>
          <w:rFonts w:hint="eastAsia" w:ascii="方正楷体_GBK" w:eastAsia="方正楷体_GBK" w:cs="宋体"/>
          <w:color w:val="000000"/>
          <w:sz w:val="32"/>
          <w:szCs w:val="32"/>
        </w:rPr>
        <w:t>202</w:t>
      </w:r>
      <w:r>
        <w:rPr>
          <w:rFonts w:hint="eastAsia" w:ascii="方正楷体_GBK" w:eastAsia="方正楷体_GBK" w:cs="宋体"/>
          <w:color w:val="000000"/>
          <w:sz w:val="32"/>
          <w:szCs w:val="32"/>
          <w:lang w:val="en-US" w:eastAsia="zh-CN"/>
        </w:rPr>
        <w:t>3</w:t>
      </w:r>
      <w:r>
        <w:rPr>
          <w:rFonts w:hint="eastAsia" w:ascii="方正楷体_GBK" w:eastAsia="方正楷体_GBK" w:cs="宋体"/>
          <w:color w:val="000000"/>
          <w:sz w:val="32"/>
          <w:szCs w:val="32"/>
        </w:rPr>
        <w:t>年</w:t>
      </w:r>
      <w:r>
        <w:rPr>
          <w:rFonts w:hint="eastAsia" w:ascii="方正楷体_GBK" w:eastAsia="方正楷体_GBK" w:cs="宋体"/>
          <w:color w:val="000000"/>
          <w:sz w:val="32"/>
          <w:szCs w:val="32"/>
          <w:lang w:val="en-US" w:eastAsia="zh-CN"/>
        </w:rPr>
        <w:t>4</w:t>
      </w:r>
      <w:r>
        <w:rPr>
          <w:rFonts w:hint="eastAsia" w:ascii="方正楷体_GBK" w:eastAsia="方正楷体_GBK" w:cs="宋体"/>
          <w:color w:val="000000"/>
          <w:sz w:val="32"/>
          <w:szCs w:val="32"/>
        </w:rPr>
        <w:t>月</w:t>
      </w:r>
      <w:r>
        <w:rPr>
          <w:rFonts w:hint="eastAsia" w:ascii="方正楷体_GBK" w:eastAsia="方正楷体_GBK" w:cs="宋体"/>
          <w:color w:val="000000"/>
          <w:sz w:val="32"/>
          <w:szCs w:val="32"/>
          <w:lang w:val="en-US" w:eastAsia="zh-CN"/>
        </w:rPr>
        <w:t>24</w:t>
      </w:r>
      <w:r>
        <w:rPr>
          <w:rFonts w:hint="eastAsia" w:ascii="方正楷体_GBK" w:eastAsia="方正楷体_GBK" w:cs="宋体"/>
          <w:color w:val="000000"/>
          <w:sz w:val="32"/>
          <w:szCs w:val="32"/>
        </w:rPr>
        <w:t xml:space="preserve">日  </w:t>
      </w:r>
    </w:p>
    <w:p>
      <w:pPr>
        <w:rPr>
          <w:rFonts w:ascii="方正楷体_GBK" w:eastAsia="方正楷体_GBK"/>
          <w:sz w:val="24"/>
          <w:szCs w:val="24"/>
        </w:rPr>
      </w:pPr>
      <w:r>
        <w:rPr>
          <w:rFonts w:ascii="方正楷体_GBK" w:eastAsia="方正楷体_GBK"/>
          <w:sz w:val="24"/>
          <w:szCs w:val="24"/>
        </w:rPr>
        <w:br w:type="page"/>
      </w:r>
    </w:p>
    <w:p>
      <w:pPr>
        <w:spacing w:line="640" w:lineRule="exact"/>
        <w:jc w:val="lef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p>
    <w:p>
      <w:pPr>
        <w:spacing w:line="640" w:lineRule="exact"/>
        <w:jc w:val="left"/>
        <w:rPr>
          <w:rFonts w:ascii="方正黑体_GBK" w:hAnsi="tim" w:eastAsia="方正黑体_GBK" w:cs="宋体"/>
          <w:bCs/>
          <w:sz w:val="36"/>
          <w:szCs w:val="36"/>
        </w:rPr>
      </w:pPr>
    </w:p>
    <w:p>
      <w:pPr>
        <w:spacing w:line="64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体检注意事项</w:t>
      </w:r>
    </w:p>
    <w:p>
      <w:pPr>
        <w:spacing w:line="660" w:lineRule="exact"/>
        <w:ind w:firstLine="420" w:firstLineChars="200"/>
        <w:rPr>
          <w:rFonts w:ascii="tim" w:hAnsi="tim" w:eastAsia="方正仿宋_GBK"/>
          <w:bCs/>
          <w:szCs w:val="32"/>
        </w:rPr>
      </w:pP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为了准确反映受检者身体的真实状况，请注意以下事项：</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1. 均应到指定医院进行体检，其它医疗单位的检查结果一律无效。</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2. 体检严禁弄虚作假、冒名顶替；如隐瞒病史影响体检结果的，后果自负。</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3. 体检前一天请注意休息，勿熬夜，不要饮酒，避免剧烈运动。</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4. 体检当天需进行采血、B超等检查，请在受检前禁食8</w:t>
      </w:r>
      <w:r>
        <w:rPr>
          <w:rFonts w:eastAsia="方正仿宋_GBK"/>
          <w:bCs/>
          <w:sz w:val="32"/>
          <w:szCs w:val="32"/>
        </w:rPr>
        <w:t>~</w:t>
      </w:r>
      <w:r>
        <w:rPr>
          <w:rFonts w:hint="eastAsia" w:ascii="tim" w:hAnsi="tim" w:eastAsia="方正仿宋_GBK"/>
          <w:bCs/>
          <w:sz w:val="32"/>
          <w:szCs w:val="32"/>
        </w:rPr>
        <w:t>12小时。</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5. 女性受检者月经期间请勿做妇科及尿液检查，待经期完毕后再补检；怀孕或可能已受孕者，事先告知医护人员，勿做</w:t>
      </w:r>
      <w:r>
        <w:rPr>
          <w:rFonts w:hint="eastAsia" w:ascii="方正仿宋_GBK" w:hAnsi="tim" w:eastAsia="方正仿宋_GBK"/>
          <w:bCs/>
          <w:sz w:val="32"/>
          <w:szCs w:val="32"/>
        </w:rPr>
        <w:t>Х</w:t>
      </w:r>
      <w:r>
        <w:rPr>
          <w:rFonts w:hint="eastAsia" w:ascii="tim" w:hAnsi="tim" w:eastAsia="方正仿宋_GBK"/>
          <w:bCs/>
          <w:sz w:val="32"/>
          <w:szCs w:val="32"/>
        </w:rPr>
        <w:t>光检查。</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6. 请配合医生认真检查所有项目，勿漏检。若自动放弃某一检查项目，将会影响对您的遴选。</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7. 体检医师可根据实际需要，增加必要的相应检查、检验项目。</w:t>
      </w:r>
    </w:p>
    <w:p>
      <w:pPr>
        <w:spacing w:line="500" w:lineRule="exact"/>
        <w:ind w:firstLine="640" w:firstLineChars="200"/>
        <w:rPr>
          <w:rFonts w:ascii="tim" w:hAnsi="tim" w:eastAsia="方正仿宋_GBK"/>
          <w:bCs/>
          <w:sz w:val="32"/>
          <w:szCs w:val="32"/>
        </w:rPr>
      </w:pPr>
      <w:r>
        <w:rPr>
          <w:rFonts w:hint="eastAsia" w:ascii="tim" w:hAnsi="tim" w:eastAsia="方正仿宋_GBK"/>
          <w:bCs/>
          <w:sz w:val="32"/>
          <w:szCs w:val="32"/>
        </w:rPr>
        <w:t>8. 体检当天，考生需自带近期二寸免冠照片1张、黑色签字笔或钢笔1支。</w:t>
      </w:r>
    </w:p>
    <w:p>
      <w:pPr>
        <w:spacing w:line="500" w:lineRule="exact"/>
        <w:ind w:firstLine="640" w:firstLineChars="200"/>
        <w:rPr>
          <w:sz w:val="32"/>
          <w:szCs w:val="32"/>
        </w:rPr>
      </w:pPr>
      <w:r>
        <w:rPr>
          <w:rFonts w:hint="eastAsia" w:ascii="tim" w:hAnsi="tim" w:eastAsia="方正仿宋_GBK"/>
          <w:bCs/>
          <w:sz w:val="32"/>
          <w:szCs w:val="32"/>
        </w:rPr>
        <w:t>9. 体检产生的费用由考生支付，请考生做好相关准备。</w:t>
      </w:r>
      <w:bookmarkStart w:id="0" w:name="_GoBack"/>
      <w:bookmarkEnd w:id="0"/>
    </w:p>
    <w:p>
      <w:pPr>
        <w:pStyle w:val="2"/>
      </w:pPr>
    </w:p>
    <w:p/>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tim">
    <w:altName w:val="Times New Roman"/>
    <w:panose1 w:val="00000000000000000000"/>
    <w:charset w:val="00"/>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YzkwZGQ5ZmZkNGZjOGY4ZDI4MWI1ZGJiYWVmNGIifQ=="/>
  </w:docVars>
  <w:rsids>
    <w:rsidRoot w:val="1C5E0C67"/>
    <w:rsid w:val="0DE65A9F"/>
    <w:rsid w:val="1C413713"/>
    <w:rsid w:val="1C5E0C67"/>
    <w:rsid w:val="2235037E"/>
    <w:rsid w:val="2E573917"/>
    <w:rsid w:val="2E604598"/>
    <w:rsid w:val="3B9052B1"/>
    <w:rsid w:val="3F276CF7"/>
    <w:rsid w:val="477D2059"/>
    <w:rsid w:val="4E583E62"/>
    <w:rsid w:val="5D037D15"/>
    <w:rsid w:val="67751AE9"/>
    <w:rsid w:val="76E7201F"/>
    <w:rsid w:val="7DA8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beforeLines="0" w:afterLines="0"/>
      <w:jc w:val="both"/>
      <w:textAlignment w:val="baseline"/>
    </w:pPr>
    <w:rPr>
      <w:rFonts w:hint="default"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426</Words>
  <Characters>524</Characters>
  <Lines>0</Lines>
  <Paragraphs>0</Paragraphs>
  <TotalTime>1</TotalTime>
  <ScaleCrop>false</ScaleCrop>
  <LinksUpToDate>false</LinksUpToDate>
  <CharactersWithSpaces>752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2022-08-23T03:40:00Z</dcterms:created>
  <dc:creator>111</dc:creator>
  <cp:lastModifiedBy>111</cp:lastModifiedBy>
  <cp:lastPrinted>2023-04-24T04:00:17Z</cp:lastPrinted>
  <dcterms:modified xsi:type="dcterms:W3CDTF">2023-04-24T04:42:23Z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F34E355178754DCE9DEEDBD32553C859</vt:lpwstr>
  </property>
</Properties>
</file>