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武汉临空港产业创新发展有限公司2023年</w:t>
      </w:r>
    </w:p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公开招聘聘用人员</w:t>
      </w:r>
    </w:p>
    <w:p>
      <w:pPr>
        <w:tabs>
          <w:tab w:val="left" w:pos="66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考生考试当天要采取合适的出行方式前往考点，乘坐交通工具时佩戴口罩，与他人保持安全间距。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300" w:rightChars="100"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应合理安排行程，携带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本人面试通知书、有效期内二代身份证原件（或有效期内临时身份证原件）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0前抵达考点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考点大门时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应聘演讲用U盘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储存、通讯等电子设备进入候考室，已带入的要按工作人员的要求关闭电源放在指定位置集中保管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核验本人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面试通知书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decorative"/>
    <w:pitch w:val="default"/>
    <w:sig w:usb0="00000000" w:usb1="00000000" w:usb2="00000000" w:usb3="00000000" w:csb0="00040000" w:csb1="00000000"/>
    <w:embedRegular r:id="rId1" w:fontKey="{27C99B74-FA71-45FF-BF82-03EB1E34FFBA}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2" w:fontKey="{F5B26E12-623D-48E3-88D4-70DB4BB985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6920A62-1916-488B-97B7-79B6CBF2C5BB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E682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页眉 Char"/>
    <w:basedOn w:val="8"/>
    <w:link w:val="5"/>
    <w:qFormat/>
    <w:uiPriority w:val="0"/>
    <w:rPr>
      <w:rFonts w:ascii="Calibri" w:hAnsi="Calibri" w:eastAsia="仿宋_GB2312"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Calibri" w:hAnsi="Calibri"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2</Pages>
  <Words>825</Words>
  <Characters>834</Characters>
  <Paragraphs>21</Paragraphs>
  <TotalTime>3</TotalTime>
  <ScaleCrop>false</ScaleCrop>
  <LinksUpToDate>false</LinksUpToDate>
  <CharactersWithSpaces>834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2019-12-09T20:42:00Z</dcterms:created>
  <dc:creator>吴芳</dc:creator>
  <cp:lastModifiedBy>花花</cp:lastModifiedBy>
  <cp:lastPrinted>2023-02-06T15:29:00Z</cp:lastPrinted>
  <dcterms:modified xsi:type="dcterms:W3CDTF">2023-04-20T03:22:04Z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7542E420262C429894BE45E4CA1AF705_13</vt:lpwstr>
  </property>
</Properties>
</file>