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宜春国建公司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岗位表</w:t>
      </w:r>
    </w:p>
    <w:tbl>
      <w:tblPr>
        <w:tblStyle w:val="3"/>
        <w:tblW w:w="13760" w:type="dxa"/>
        <w:tblInd w:w="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365"/>
        <w:gridCol w:w="1028"/>
        <w:gridCol w:w="1327"/>
        <w:gridCol w:w="885"/>
        <w:gridCol w:w="6435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公司</w:t>
            </w:r>
          </w:p>
        </w:tc>
        <w:tc>
          <w:tcPr>
            <w:tcW w:w="1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所属部门</w:t>
            </w:r>
            <w:bookmarkStart w:id="0" w:name="_GoBack"/>
            <w:bookmarkEnd w:id="0"/>
          </w:p>
        </w:tc>
        <w:tc>
          <w:tcPr>
            <w:tcW w:w="13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6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岗位条件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待遇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（月薪含五险一金）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宜春国投建设运营有限公司</w:t>
            </w:r>
          </w:p>
        </w:tc>
        <w:tc>
          <w:tcPr>
            <w:tcW w:w="102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综合财务部</w:t>
            </w:r>
          </w:p>
        </w:tc>
        <w:tc>
          <w:tcPr>
            <w:tcW w:w="13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综合岗</w:t>
            </w: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①年龄26周岁及以下，本科及以上学历；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②熟练操作各类办公软件，有较强的文字功底，能独立撰写文稿，具有良好的沟通协调能力，能够适应高强度工作，服从组织安排。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5000元起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财务岗</w:t>
            </w: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①年龄26周岁及以下,本科及以上学历，会计学、财务管理等相关专业；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②熟练操作各类财务会计软件，有较强的沟通协调能力，能够适应高强度工作，服从组织安排。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5000元起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ZmUxMTYyZWJmODI0MmQ3ZmQzNzQ0MTVkNDUyOWYifQ=="/>
  </w:docVars>
  <w:rsids>
    <w:rsidRoot w:val="00000000"/>
    <w:rsid w:val="18014A84"/>
    <w:rsid w:val="19646C69"/>
    <w:rsid w:val="2847307E"/>
    <w:rsid w:val="2DCC63E5"/>
    <w:rsid w:val="3DCD2DB7"/>
    <w:rsid w:val="3E5F46E7"/>
    <w:rsid w:val="41F92871"/>
    <w:rsid w:val="5196493D"/>
    <w:rsid w:val="61F226A7"/>
    <w:rsid w:val="7657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2022-09-28T10:05:00Z</dcterms:created>
  <dc:creator>Administrator.PC-201802011034</dc:creator>
  <cp:lastModifiedBy>Administrator</cp:lastModifiedBy>
  <dcterms:modified xsi:type="dcterms:W3CDTF">2023-03-31T01:08:40Z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DB94F54F458C467698B46F188310AEB4</vt:lpwstr>
  </property>
</Properties>
</file>