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附件1：</w:t>
      </w:r>
    </w:p>
    <w:p>
      <w:pPr>
        <w:widowControl/>
        <w:jc w:val="center"/>
        <w:rPr>
          <w:rFonts w:ascii="仿宋" w:hAnsi="仿宋" w:eastAsia="仿宋" w:cs="宋体"/>
          <w:b/>
          <w:bCs/>
          <w:kern w:val="36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36"/>
          <w:sz w:val="36"/>
          <w:szCs w:val="36"/>
        </w:rPr>
        <w:t>甘肃烟草工业有限责任公司</w:t>
      </w:r>
      <w:r>
        <w:rPr>
          <w:rFonts w:ascii="仿宋" w:hAnsi="仿宋" w:eastAsia="仿宋" w:cs="宋体"/>
          <w:b/>
          <w:bCs/>
          <w:kern w:val="36"/>
          <w:sz w:val="36"/>
          <w:szCs w:val="36"/>
        </w:rPr>
        <w:t>2023年招聘计划表</w:t>
      </w:r>
    </w:p>
    <w:tbl>
      <w:tblPr>
        <w:tblStyle w:val="3"/>
        <w:tblW w:w="147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920"/>
        <w:gridCol w:w="2300"/>
        <w:gridCol w:w="960"/>
        <w:gridCol w:w="1437"/>
        <w:gridCol w:w="709"/>
        <w:gridCol w:w="1641"/>
        <w:gridCol w:w="740"/>
        <w:gridCol w:w="3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所学专业及方向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毕业  时间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应用化学等相关专业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专业技术类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公司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应聘公司本部或兰州卷烟厂各岗位人员录用后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全部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分配到兰州卷烟厂生产车间一线生产操作岗位工作，待公司和兰州卷烟厂相关部门岗位缺员时，按照公司制度内部竞聘选用。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工作方式为两班运转。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色盲、色弱或职业禁忌症（噪音、粉尘）者或（疑似）职业病不符合招聘要求。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生物工程(微生物研究方向、食品加工与安全）等相关专业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材料科学与工程等相关专业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市场营销等相关专业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公共关系学等相关专业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烟草、烟草学等相关专业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业务类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财务管理、会计学等相关专业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兰州卷烟厂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审计、审计学等相关专业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统计学、应用统计学等相关专业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电子信息工程、电子科学与技术、通信工程等相关专业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计算机科学与技术、软件工程、网络工程等相关专业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所学专业及方向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毕业  时间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物流管理、地理信息科学等相关专业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兰州卷烟厂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企业管理等相关专业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法学等相关专业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土木工程、工程项目管理等相关专业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机械设计制造及其自动化、工业设计、机械工程等相关专业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4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自动化、电气自动化、工业智能等相关专业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自动化、电气自动化、工业智能等相关专业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天水卷烟厂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天水</w:t>
            </w:r>
          </w:p>
        </w:tc>
        <w:tc>
          <w:tcPr>
            <w:tcW w:w="3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应聘公司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天水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卷烟厂各岗位人员录用后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全部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分配到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天水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卷烟厂生产车间一线生产操作岗位工作，待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天水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卷烟厂相关部门岗位缺员时，按照公司制度内部竞聘选用。工作方式为两班运转。色盲、色弱或职业禁忌症（噪音、粉尘）者或（疑似）职业病不符合招聘要求。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机械设计制造及其自动化、工业设计、机械工程等相关专业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天水</w:t>
            </w:r>
          </w:p>
        </w:tc>
        <w:tc>
          <w:tcPr>
            <w:tcW w:w="3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计算机科学与技术、软件工程、网络工程等相关专业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天水</w:t>
            </w:r>
          </w:p>
        </w:tc>
        <w:tc>
          <w:tcPr>
            <w:tcW w:w="3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财政学、税收学等相关专业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生产操作类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天水</w:t>
            </w:r>
          </w:p>
        </w:tc>
        <w:tc>
          <w:tcPr>
            <w:tcW w:w="3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56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</w:p>
    <w:p>
      <w:pPr>
        <w:widowControl/>
        <w:jc w:val="left"/>
        <w:rPr>
          <w:rFonts w:ascii="楷体_GB2312" w:hAnsi="宋体" w:eastAsia="楷体_GB2312" w:cs="宋体"/>
          <w:color w:val="000000"/>
          <w:spacing w:val="10"/>
          <w:kern w:val="0"/>
          <w:sz w:val="30"/>
          <w:szCs w:val="30"/>
        </w:rPr>
        <w:sectPr>
          <w:pgSz w:w="16838" w:h="11906" w:orient="landscape"/>
          <w:pgMar w:top="1531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596E9"/>
    <w:rsid w:val="699335B2"/>
    <w:rsid w:val="7FFA9C12"/>
    <w:rsid w:val="EBB596E9"/>
    <w:rsid w:val="F7A90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17.3333333333333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2023-03-29T08:43:00Z</dcterms:created>
  <dc:creator>user</dc:creator>
  <cp:lastModifiedBy>小仙女</cp:lastModifiedBy>
  <dcterms:modified xsi:type="dcterms:W3CDTF">2023-03-30T00:55:57Z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A69D8C614D9F4308987E6D8BE9D387D4</vt:lpwstr>
  </property>
</Properties>
</file>