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A" w:rsidRDefault="00605E1E" w:rsidP="00605E1E">
      <w:pPr>
        <w:jc w:val="center"/>
        <w:rPr>
          <w:rFonts w:ascii="仿宋_GB2312" w:eastAsia="仿宋_GB2312" w:hint="eastAsia"/>
          <w:b/>
          <w:sz w:val="44"/>
        </w:rPr>
      </w:pPr>
      <w:r w:rsidRPr="00605E1E">
        <w:rPr>
          <w:rFonts w:ascii="仿宋_GB2312" w:eastAsia="仿宋_GB2312" w:hint="eastAsia"/>
          <w:b/>
          <w:sz w:val="44"/>
        </w:rPr>
        <w:t>体能考核操作规程及评分标准</w:t>
      </w:r>
    </w:p>
    <w:p w:rsidR="00605E1E" w:rsidRDefault="00605E1E" w:rsidP="00605E1E">
      <w:pPr>
        <w:jc w:val="center"/>
        <w:rPr>
          <w:rFonts w:ascii="仿宋_GB2312" w:eastAsia="仿宋_GB2312" w:hint="eastAsia"/>
          <w:sz w:val="32"/>
        </w:rPr>
      </w:pPr>
    </w:p>
    <w:p w:rsidR="00605E1E" w:rsidRPr="00605E1E" w:rsidRDefault="00605E1E" w:rsidP="00605E1E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（1）</w:t>
      </w:r>
      <w:r w:rsidRPr="00605E1E">
        <w:rPr>
          <w:rFonts w:ascii="Times New Roman" w:eastAsia="仿宋" w:hAnsi="Times New Roman" w:cs="Times New Roman"/>
          <w:spacing w:val="8"/>
          <w:kern w:val="0"/>
          <w:sz w:val="29"/>
          <w:szCs w:val="29"/>
        </w:rPr>
        <w:t>1000</w:t>
      </w: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米跑：</w:t>
      </w:r>
    </w:p>
    <w:p w:rsidR="00605E1E" w:rsidRPr="00605E1E" w:rsidRDefault="00605E1E" w:rsidP="00605E1E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分组考核，在跑道标出起点、终点，考生从起点处听到</w:t>
      </w:r>
      <w:r>
        <w:rPr>
          <w:rFonts w:ascii="仿宋" w:eastAsia="仿宋" w:hAnsi="仿宋" w:cs="宋体" w:hint="eastAsia"/>
          <w:spacing w:val="8"/>
          <w:kern w:val="0"/>
          <w:sz w:val="29"/>
          <w:szCs w:val="29"/>
        </w:rPr>
        <w:t>“</w:t>
      </w: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起跑</w:t>
      </w:r>
      <w:r>
        <w:rPr>
          <w:rFonts w:ascii="仿宋" w:eastAsia="仿宋" w:hAnsi="仿宋" w:cs="宋体" w:hint="eastAsia"/>
          <w:spacing w:val="8"/>
          <w:kern w:val="0"/>
          <w:sz w:val="29"/>
          <w:szCs w:val="29"/>
        </w:rPr>
        <w:t>”</w:t>
      </w: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命令后，完成1000米距离到达终点线并计时。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605E1E" w:rsidRPr="00605E1E" w:rsidTr="00605E1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科目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1000米跑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25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20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15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10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05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00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55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55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45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3分</w:t>
            </w:r>
            <w:r w:rsidRPr="00605E1E">
              <w:rPr>
                <w:rFonts w:ascii="Times New Roman" w:eastAsia="仿宋" w:hAnsi="Times New Roman" w:cs="Times New Roman"/>
                <w:kern w:val="0"/>
                <w:sz w:val="23"/>
                <w:szCs w:val="23"/>
              </w:rPr>
              <w:t>40</w:t>
            </w: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秒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</w:tr>
    </w:tbl>
    <w:p w:rsidR="00605E1E" w:rsidRPr="00605E1E" w:rsidRDefault="00605E1E" w:rsidP="00605E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（2）</w:t>
      </w:r>
      <w:r w:rsidRPr="00605E1E">
        <w:rPr>
          <w:rFonts w:ascii="Times New Roman" w:eastAsia="仿宋" w:hAnsi="Times New Roman" w:cs="Times New Roman"/>
          <w:spacing w:val="8"/>
          <w:kern w:val="0"/>
          <w:sz w:val="29"/>
          <w:szCs w:val="29"/>
        </w:rPr>
        <w:t>100</w:t>
      </w: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米跑：</w:t>
      </w:r>
    </w:p>
    <w:p w:rsidR="00605E1E" w:rsidRPr="00605E1E" w:rsidRDefault="00605E1E" w:rsidP="00605E1E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分组考核，在跑道标出起点、终点，考生从起点处听到</w:t>
      </w:r>
      <w:r>
        <w:rPr>
          <w:rFonts w:ascii="仿宋" w:eastAsia="仿宋" w:hAnsi="仿宋" w:cs="宋体" w:hint="eastAsia"/>
          <w:spacing w:val="8"/>
          <w:kern w:val="0"/>
          <w:sz w:val="29"/>
          <w:szCs w:val="29"/>
        </w:rPr>
        <w:t>“</w:t>
      </w: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起跑</w:t>
      </w:r>
      <w:r>
        <w:rPr>
          <w:rFonts w:ascii="仿宋" w:eastAsia="仿宋" w:hAnsi="仿宋" w:cs="宋体" w:hint="eastAsia"/>
          <w:spacing w:val="8"/>
          <w:kern w:val="0"/>
          <w:sz w:val="29"/>
          <w:szCs w:val="29"/>
        </w:rPr>
        <w:t>”</w:t>
      </w: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命令后，完成100米距离到达终点线并计时。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605E1E" w:rsidRPr="00605E1E" w:rsidTr="00605E1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科目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100米跑</w:t>
            </w:r>
          </w:p>
        </w:tc>
      </w:tr>
      <w:tr w:rsidR="00605E1E" w:rsidRPr="00605E1E" w:rsidTr="00605E1E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22秒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21秒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20秒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19秒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18秒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17秒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16秒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15秒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14秒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13秒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</w:tr>
    </w:tbl>
    <w:p w:rsidR="00605E1E" w:rsidRPr="00605E1E" w:rsidRDefault="00605E1E" w:rsidP="00605E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（3）俯卧撑：</w:t>
      </w:r>
    </w:p>
    <w:p w:rsidR="00605E1E" w:rsidRPr="00605E1E" w:rsidRDefault="00605E1E" w:rsidP="00605E1E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单个或分组考核，双手全</w:t>
      </w:r>
      <w:proofErr w:type="gramStart"/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掌接触</w:t>
      </w:r>
      <w:proofErr w:type="gramEnd"/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地面，脚蹬支撑下半身，双肩及臀部下放至肘关节平齐后推起回起始位置。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605E1E" w:rsidRPr="00605E1E" w:rsidTr="00605E1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科目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俯卧撑</w:t>
            </w:r>
          </w:p>
        </w:tc>
      </w:tr>
      <w:tr w:rsidR="00605E1E" w:rsidRPr="00605E1E" w:rsidTr="00605E1E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40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</w:tr>
    </w:tbl>
    <w:p w:rsidR="00605E1E" w:rsidRPr="00605E1E" w:rsidRDefault="00605E1E" w:rsidP="00605E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（4）仰卧起坐</w:t>
      </w:r>
    </w:p>
    <w:p w:rsidR="00605E1E" w:rsidRPr="00605E1E" w:rsidRDefault="00605E1E" w:rsidP="00605E1E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单个或分组考核，双脚踝关节固定，上体后仰时</w:t>
      </w:r>
      <w:proofErr w:type="gramStart"/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肩背部触垫子</w:t>
      </w:r>
      <w:proofErr w:type="gramEnd"/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，坐起时双肘触及膝部，双手扶耳。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605E1E" w:rsidRPr="00605E1E" w:rsidTr="00605E1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科目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仰卧起坐</w:t>
            </w:r>
          </w:p>
        </w:tc>
      </w:tr>
      <w:tr w:rsidR="00605E1E" w:rsidRPr="00605E1E" w:rsidTr="00605E1E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55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</w:tr>
    </w:tbl>
    <w:p w:rsidR="00605E1E" w:rsidRPr="00605E1E" w:rsidRDefault="00605E1E" w:rsidP="00605E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lastRenderedPageBreak/>
        <w:t>（5）单杠引体向上</w:t>
      </w:r>
    </w:p>
    <w:p w:rsidR="00605E1E" w:rsidRPr="00605E1E" w:rsidRDefault="00605E1E" w:rsidP="00605E1E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单个或分组考核，按照规定动作要领完成动作，引体时下颌高于杠面，悬垂时双肘关节伸直；脚触及地面或立柱，结束考核。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605E1E" w:rsidRPr="00605E1E" w:rsidTr="00605E1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科目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单杠引体向上</w:t>
            </w:r>
          </w:p>
        </w:tc>
      </w:tr>
      <w:tr w:rsidR="00605E1E" w:rsidRPr="00605E1E" w:rsidTr="00605E1E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11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</w:tr>
    </w:tbl>
    <w:p w:rsidR="00605E1E" w:rsidRPr="00605E1E" w:rsidRDefault="00605E1E" w:rsidP="00605E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（6）双杠臂屈伸</w:t>
      </w:r>
    </w:p>
    <w:p w:rsidR="00605E1E" w:rsidRPr="00605E1E" w:rsidRDefault="00605E1E" w:rsidP="00605E1E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605E1E">
        <w:rPr>
          <w:rFonts w:ascii="仿宋" w:eastAsia="仿宋" w:hAnsi="仿宋" w:cs="宋体" w:hint="eastAsia"/>
          <w:spacing w:val="8"/>
          <w:kern w:val="0"/>
          <w:sz w:val="29"/>
          <w:szCs w:val="29"/>
        </w:rPr>
        <w:t>双手分别握杠，两臂支撑在双杠上，肘关节弯曲同时肩关节伸屈，使身体下降，肘关节夹角小于90度后，双臂用力撑起至还原。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605E1E" w:rsidRPr="00605E1E" w:rsidTr="00605E1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科目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双杠臂屈伸</w:t>
            </w:r>
          </w:p>
        </w:tc>
      </w:tr>
      <w:tr w:rsidR="00605E1E" w:rsidRPr="00605E1E" w:rsidTr="00605E1E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12</w:t>
            </w:r>
          </w:p>
        </w:tc>
      </w:tr>
      <w:tr w:rsidR="00605E1E" w:rsidRPr="00605E1E" w:rsidTr="00605E1E">
        <w:trPr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E1E" w:rsidRPr="00605E1E" w:rsidRDefault="00605E1E" w:rsidP="00605E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E1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10</w:t>
            </w:r>
          </w:p>
        </w:tc>
      </w:tr>
      <w:bookmarkEnd w:id="0"/>
    </w:tbl>
    <w:p w:rsidR="00605E1E" w:rsidRPr="00605E1E" w:rsidRDefault="00605E1E" w:rsidP="00605E1E">
      <w:pPr>
        <w:jc w:val="left"/>
        <w:rPr>
          <w:sz w:val="32"/>
        </w:rPr>
      </w:pPr>
    </w:p>
    <w:sectPr w:rsidR="00605E1E" w:rsidRPr="0060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F2" w:rsidRDefault="005F70F2" w:rsidP="00605E1E">
      <w:r>
        <w:separator/>
      </w:r>
    </w:p>
  </w:endnote>
  <w:endnote w:type="continuationSeparator" w:id="0">
    <w:p w:rsidR="005F70F2" w:rsidRDefault="005F70F2" w:rsidP="0060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F2" w:rsidRDefault="005F70F2" w:rsidP="00605E1E">
      <w:r>
        <w:separator/>
      </w:r>
    </w:p>
  </w:footnote>
  <w:footnote w:type="continuationSeparator" w:id="0">
    <w:p w:rsidR="005F70F2" w:rsidRDefault="005F70F2" w:rsidP="0060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6E"/>
    <w:rsid w:val="000031C6"/>
    <w:rsid w:val="005F70F2"/>
    <w:rsid w:val="00605E1E"/>
    <w:rsid w:val="0083166E"/>
    <w:rsid w:val="008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E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5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E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5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2022-02-06T12:33:00Z</dcterms:created>
  <dcterms:modified xsi:type="dcterms:W3CDTF">2022-02-06T12:35:00Z</dcterms:modified>
</cp:coreProperties>
</file>