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就业困难人员认定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登记失业人员有下列情形之一的，可以到所在街道为民服务中心申请认定为就业困难人员：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（一）低收入人口的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女40周岁以上、男50周岁以上的；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特困职工家庭的；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残疾的；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城镇零就业家庭和农村零转移家庭的；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连续失业一年以上的；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城市规划区范围内的被征地农民；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优抚对象家庭的；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军队退役的；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设区市人民政府确定的其他就业困难人员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GRkZGYxYmNjNWU2ZWIwNDlhMDMxZDgwM2Y5NGIifQ=="/>
  </w:docVars>
  <w:rsids>
    <w:rsidRoot w:val="714D09B2"/>
    <w:rsid w:val="714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2023-04-10T03:04:00Z</dcterms:created>
  <dc:creator>燃曦^O^</dc:creator>
  <cp:lastModifiedBy>燃曦^O^</cp:lastModifiedBy>
  <dcterms:modified xsi:type="dcterms:W3CDTF">2023-04-10T03:04:20Z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C81161DA2BBE4CE09DE38060663AB748_11</vt:lpwstr>
  </property>
</Properties>
</file>