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4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河南省社会科学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eastAsia="zh-CN"/>
              </w:rPr>
              <w:t>界联合会所属事业单位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202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年公开招聘工作人员岗位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  <w:lang w:eastAsia="zh-CN"/>
              </w:rPr>
              <w:t>信息</w:t>
            </w: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表</w:t>
            </w:r>
          </w:p>
        </w:tc>
      </w:tr>
    </w:tbl>
    <w:p>
      <w:pPr>
        <w:snapToGrid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46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756"/>
        <w:gridCol w:w="1124"/>
        <w:gridCol w:w="1306"/>
        <w:gridCol w:w="1166"/>
        <w:gridCol w:w="618"/>
        <w:gridCol w:w="3091"/>
        <w:gridCol w:w="1461"/>
        <w:gridCol w:w="34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省社会科学界联合会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河南社会科学杂志社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财政全供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专业技术岗（综合类）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Times New Roman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Times New Roman"/>
                <w:lang w:val="en-US" w:eastAsia="zh-CN" w:bidi="ar"/>
              </w:rPr>
            </w:pPr>
            <w:r>
              <w:rPr>
                <w:rStyle w:val="6"/>
                <w:rFonts w:hint="default" w:hAnsi="Times New Roman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default" w:hAnsi="Times New Roman"/>
                <w:lang w:val="en-US" w:eastAsia="zh-CN" w:bidi="ar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研究生为政治经济学、经济思想史、西方经济学、产业经济学、区域经济学、国民经济学，本科为经济学、国民经济管理、经济与金融。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普通高等教育硕士研究生及以上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本科为普通高等教育本科，中共党员，30岁以下(1993年1月1日以后出生），高校毕业生（2021-2023年内高校毕业生）。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省社会科学界联合会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省社科联学术传播中心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财政全供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专业技术岗（综合类）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Times New Roman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Times New Roman"/>
                <w:lang w:val="en-US" w:eastAsia="zh-CN" w:bidi="ar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hAnsi="Times New Roman"/>
                <w:lang w:val="en-US" w:eastAsia="zh-CN" w:bidi="ar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研究生为网络与新媒体；或研究生为新闻学、传播学、新闻与传播，本科为网络与新媒体。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普通高等教育硕士研究生及以上</w:t>
            </w:r>
          </w:p>
        </w:tc>
        <w:tc>
          <w:tcPr>
            <w:tcW w:w="3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40460B8D"/>
    <w:rsid w:val="1FC36286"/>
    <w:rsid w:val="404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2023-04-10T09:06:00Z</dcterms:created>
  <dc:creator>WPS_1640659952</dc:creator>
  <cp:lastModifiedBy>WPS_1640659952</cp:lastModifiedBy>
  <dcterms:modified xsi:type="dcterms:W3CDTF">2023-04-10T09:14:38Z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20E5D98607C14096ABA65D07AB7D02BE</vt:lpwstr>
  </property>
</Properties>
</file>