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第二次</w:t>
      </w:r>
      <w:r>
        <w:rPr>
          <w:rFonts w:hint="eastAsia" w:ascii="方正小标宋简体" w:hAnsi="宋体" w:eastAsia="方正小标宋简体"/>
          <w:sz w:val="44"/>
          <w:szCs w:val="44"/>
        </w:rPr>
        <w:t>引进优秀人才报名表</w:t>
      </w:r>
    </w:p>
    <w:p>
      <w:pPr>
        <w:tabs>
          <w:tab w:val="right" w:pos="3960"/>
        </w:tabs>
        <w:spacing w:line="500" w:lineRule="exact"/>
        <w:jc w:val="righ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联系电话1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联系电话2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2023年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3E66B5F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23</TotalTime>
  <ScaleCrop>false</ScaleCrop>
  <LinksUpToDate>false</LinksUpToDate>
  <CharactersWithSpaces>657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2023-03-30T08:12:34Z</dcterms:modified>
  <dc:title>事业单位公开招聘人员报名登记表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