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</w:rPr>
        <w:t>附件2：</w:t>
      </w:r>
    </w:p>
    <w:p>
      <w:pPr>
        <w:jc w:val="center"/>
        <w:rPr>
          <w:rFonts w:hint="eastAsia" w:ascii="黑体" w:hAnsi="方正姚体" w:eastAsia="黑体" w:cs="方正姚体"/>
          <w:color w:val="000000"/>
          <w:sz w:val="44"/>
          <w:szCs w:val="44"/>
        </w:rPr>
      </w:pPr>
      <w:r>
        <w:rPr>
          <w:rFonts w:hint="eastAsia" w:ascii="黑体" w:hAnsi="方正姚体" w:eastAsia="黑体" w:cs="方正姚体"/>
          <w:color w:val="000000"/>
          <w:sz w:val="44"/>
          <w:szCs w:val="44"/>
        </w:rPr>
        <w:t>元宝山区招聘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黑体" w:hAnsi="方正姚体" w:eastAsia="黑体" w:cs="方正姚体"/>
          <w:color w:val="000000"/>
          <w:sz w:val="44"/>
          <w:szCs w:val="44"/>
        </w:rPr>
        <w:t>消防员知情书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一、元宝山区消防救援大队承担着元宝山区防范化解重大安全风险、应对处置各类灾害事故的重大职责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二、队伍按照纪律部队建设标准管理，实行24小时驻勤备战。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四、在辖区发生较大的灾害事故，救援任务尚未完成前不得临时辞职。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本人已认真阅读《知情书》，知悉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责任，接受驻勤备战、日常管理、教育训练、统一分配模式，志愿报名参加此次招录。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本人签字：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年   月   日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WRlYTQ0ZDkzZGExZmRkYzVjMmRhZmM0Nzg1NWEifQ=="/>
  </w:docVars>
  <w:rsids>
    <w:rsidRoot w:val="57A706BA"/>
    <w:rsid w:val="10B75B20"/>
    <w:rsid w:val="4C852304"/>
    <w:rsid w:val="57A706BA"/>
    <w:rsid w:val="591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225</Characters>
  <Lines>0</Lines>
  <Paragraphs>0</Paragraphs>
  <TotalTime>0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2022-10-10T07:15:00Z</dcterms:created>
  <dc:creator>李佳伟</dc:creator>
  <cp:lastModifiedBy>Administrator</cp:lastModifiedBy>
  <dcterms:modified xsi:type="dcterms:W3CDTF">2023-03-28T01:12:02Z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B5AED6C9D5944B7C82AAA079F52D7EB5</vt:lpwstr>
  </property>
</Properties>
</file>