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宋体" w:eastAsia="方正黑体_GBK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渝北区中医院招聘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编外聘用人员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岗位情况一览表（共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highlight w:val="none"/>
          <w:lang w:val="en-US" w:eastAsia="zh-CN"/>
        </w:rPr>
        <w:t>84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名）</w:t>
      </w:r>
    </w:p>
    <w:tbl>
      <w:tblPr>
        <w:tblStyle w:val="3"/>
        <w:tblW w:w="14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15"/>
        <w:gridCol w:w="1247"/>
        <w:gridCol w:w="680"/>
        <w:gridCol w:w="1701"/>
        <w:gridCol w:w="1442"/>
        <w:gridCol w:w="1350"/>
        <w:gridCol w:w="834"/>
        <w:gridCol w:w="30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12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66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98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8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（共7名）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从事康复医学科临床诊疗相关工作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具有病房工作经验者优先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从事康复医学科临床诊疗相关工作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2.具有规培证；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具有病房工作经验者优先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从事康复医学科相关工作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具有病房工作经验者优先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从事康复医学科相关工作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2.具有相应科室临床工作经历。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从事康复医学科门诊相关工作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具有相应执业助理医师及以上资格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（共4名）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从事外科临床诊疗相关工作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中医外科学、中西医结合临床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愿意从事血管介入的优先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从事外科临床诊疗相关工作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具有相应执业医师资格；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1.愿意从事血管介入的优先；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2.具有5年以上的外科工作经历优先。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从事外科辅助相关工作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（共10名）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从事ICU临床诊疗相关工作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从事ICU临床诊疗相关工作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2.具有5年以上ICU相关工作经历。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从事ICU临床护理相关工作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1.具有执业护士资格；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2.具有初级及以上职称；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3.具有三级医院ICU工作经历。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具有规培证或ICU专科护士证者，学历可放宽到大专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（共4名）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从事脑病科临床诊疗相关工作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中医内科学（脑病方向）、中西医结合（脑病方向）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具有介入资质者优先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从事脑病科相关工作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具有相应执业助理医师及以上资格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骨伤科二病区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（共4名）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从事骨伤科二病区临床诊疗相关工作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2.具有相应专业中级及以上职称。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从事骨伤科二病区临床诊疗相关工作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从事骨伤科二病区临床诊疗相关工作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2.具有相应专业中级及以上职称。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从事骨伤科二病区相关工作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具有相应执业助理医师及以上资格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健康管理中心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眼耳鼻喉医师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从事健康管理中心眼耳鼻喉检查相关工作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中西医临床医学、中西医结合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2.具有5年以上从事眼耳鼻喉临床相关工作经历。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从事神经外科诊疗相关工作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3.具有主治医师及以上职称；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4.具有2年以上神经外科相关工作经历。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从事神经外科诊疗相关工作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骨伤科一病区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从事骨伤科一病区临床诊疗相关工作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1.具有相应执业医师资格；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2.具有规培证或相应中级及以上职称。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从事骨伤科一病区临床诊疗相关工作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    （1名）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从事脾胃病科临床诊疗相关工作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中医内科学（肝病方向）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1.具有相应执业医师资格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2.具有规培证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（共30名）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护士1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从事临床护理相关工作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1.具有执业护士资格；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2.具有护师及以上职称。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具有规培证或专科护士证者，学历可放宽到大专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护士2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从事临床护理相关工作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具有执业护士资格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具有规培证或专科护士证者，学历可放宽到大专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专科护士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从事血透室临床护理相关工作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1.具有执业护士资格；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2.具有护师及以上职称；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3.具有血透室专科护士证书；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4.具有5年以上血透室相关工作经历。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麻醉科（手术室）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专科护士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从事麻醉科（手术室）临床护理工作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具有执业护士资格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具有麻醉科（手术室）专科护士证者，学历可放宽到大专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消毒供应中心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从事消毒供应中心相关工作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具有执业护士资格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1.具有消毒供应中心专科护士证者，学历可放宽到大专；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2.具有消毒供应中心或手术室工作经验者优先。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从事产房护理相关工作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1.具有执业护士资格；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2.具有母婴保健资格证；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3.具有1年以上从事助产相关工作经历。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包干护士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从事肺病科临床护理相关工作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具有执业护士资格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1.具有较强的沟通协调能力；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从事医学影像科放射检查工作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具有CT上岗技师证、MR医用上岗证优先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从事泌尿外科相关工作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中医学、中西医结合、医学影像技术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1.具有执业助理医师及以上资格证或初级及以上职称者优先；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心病科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从事胸痛中心相关工作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具有相应执业助理医师及以上资格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             （共1名)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包干技师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从事肛肠科门诊及住院技师相关工作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具有相应执业助理医师及以上资格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药学科              （共5名）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调剂人员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从事中西药房调剂工作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具有中药师及以上职称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制剂人员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从事药学科制剂工作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具有中药师及以上职称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煎药人员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从事中药煎药工作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从事总务科相关工作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建筑环境与设备工程、建筑环境与能源应用工程</w:t>
            </w:r>
          </w:p>
        </w:tc>
        <w:tc>
          <w:tcPr>
            <w:tcW w:w="8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</w:pP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薪酬待遇包干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DdjNWQyZGQ2MDRkYTc3M2U5MjgyMjVhNmI2MDIifQ=="/>
  </w:docVars>
  <w:rsids>
    <w:rsidRoot w:val="791075CB"/>
    <w:rsid w:val="34F44B98"/>
    <w:rsid w:val="380D0454"/>
    <w:rsid w:val="4447730F"/>
    <w:rsid w:val="467C7B21"/>
    <w:rsid w:val="4B0030BC"/>
    <w:rsid w:val="4B5236EA"/>
    <w:rsid w:val="5D1F165C"/>
    <w:rsid w:val="69935544"/>
    <w:rsid w:val="791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2839</Words>
  <Characters>2955</Characters>
  <Lines>0</Lines>
  <Paragraphs>0</Paragraphs>
  <TotalTime>3</TotalTime>
  <ScaleCrop>false</ScaleCrop>
  <LinksUpToDate>false</LinksUpToDate>
  <CharactersWithSpaces>3004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2022-10-21T06:41:00Z</dcterms:created>
  <dc:creator>掩，初颜</dc:creator>
  <cp:lastModifiedBy>重染</cp:lastModifiedBy>
  <cp:lastPrinted>2023-03-15T06:14:00Z</cp:lastPrinted>
  <dcterms:modified xsi:type="dcterms:W3CDTF">2023-03-21T03:55:37Z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7C82E8762876421DBEC464C2DE29ABA9_13</vt:lpwstr>
  </property>
</Properties>
</file>