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40" w:lineRule="exact"/>
        <w:jc w:val="center"/>
        <w:textAlignment w:val="auto"/>
        <w:rPr>
          <w:rFonts w:hint="eastAsia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年广州市南沙区劳动人事争议仲裁院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公开招聘编外人员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职位表</w:t>
      </w:r>
      <w:bookmarkEnd w:id="0"/>
    </w:p>
    <w:tbl>
      <w:tblPr>
        <w:tblStyle w:val="4"/>
        <w:tblW w:w="151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616"/>
        <w:gridCol w:w="1223"/>
        <w:gridCol w:w="1174"/>
        <w:gridCol w:w="1070"/>
        <w:gridCol w:w="2020"/>
        <w:gridCol w:w="1024"/>
        <w:gridCol w:w="3817"/>
        <w:gridCol w:w="3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3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必须符合以下条件之一（资格审查时需提供对应佐证材料）：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1.在聘的劳动人事争议仲裁员；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2.在法院、检察、行政复议或者仲裁机构从事书记员、记录员连续三年以上；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3.律师执业三年以上；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4.从事劳动保障、人事或者法务工作连续三年以上。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u w:val="none"/>
                <w:lang w:bidi="ar"/>
              </w:rPr>
              <w:t>计算截止日期为2023年3月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u w:val="none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。</w:t>
            </w:r>
          </w:p>
        </w:tc>
        <w:tc>
          <w:tcPr>
            <w:tcW w:w="3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要求确定聘用后能够马上到岗。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</w:t>
            </w:r>
          </w:p>
        </w:tc>
        <w:tc>
          <w:tcPr>
            <w:tcW w:w="1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法学（B0301）、汉语言文学（B0501）、 经济学（B0201）</w:t>
            </w: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1.熟练操作办公软件，具备较强的公文写作能力。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2.具备正常履行职责的身体条件、心理素质和工作能力。</w:t>
            </w:r>
          </w:p>
        </w:tc>
        <w:tc>
          <w:tcPr>
            <w:tcW w:w="3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1.本科以上学历考生报考的，要求本科阶段所学专业与岗位要求专业一致。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2.要求确定聘用后能够马上到岗。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备注：年龄35周岁以下是指1987年3月26日（含）后出生的人员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D1461"/>
    <w:rsid w:val="326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2023-03-17T09:20:00Z</dcterms:created>
  <dc:creator>Administrator</dc:creator>
  <cp:lastModifiedBy>Administrator</cp:lastModifiedBy>
  <dcterms:modified xsi:type="dcterms:W3CDTF">2023-03-17T09:24:06Z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BF9C659E4D5E4BBC913D15B78DFE9DE7</vt:lpwstr>
  </property>
</Properties>
</file>