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194" w:firstLineChars="27"/>
        <w:jc w:val="center"/>
        <w:rPr>
          <w:color w:val="auto"/>
          <w:sz w:val="72"/>
          <w:szCs w:val="72"/>
        </w:rPr>
      </w:pPr>
      <w:r>
        <w:rPr>
          <w:rFonts w:hint="eastAsia"/>
          <w:color w:val="auto"/>
          <w:sz w:val="72"/>
          <w:szCs w:val="72"/>
        </w:rPr>
        <w:t>南山区人力资源局</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color w:val="auto"/>
          <w:sz w:val="72"/>
          <w:szCs w:val="72"/>
        </w:rPr>
      </w:pPr>
      <w:r>
        <w:rPr>
          <w:rFonts w:hint="eastAsia"/>
          <w:color w:val="auto"/>
          <w:sz w:val="72"/>
          <w:szCs w:val="72"/>
          <w:lang w:eastAsia="zh-CN"/>
        </w:rPr>
        <w:t>自</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rFonts w:hint="eastAsia" w:eastAsia="宋体"/>
          <w:color w:val="auto"/>
          <w:sz w:val="72"/>
          <w:szCs w:val="72"/>
          <w:lang w:eastAsia="zh-CN"/>
        </w:rPr>
      </w:pPr>
      <w:r>
        <w:rPr>
          <w:rFonts w:hint="eastAsia"/>
          <w:color w:val="auto"/>
          <w:sz w:val="72"/>
          <w:szCs w:val="72"/>
          <w:lang w:eastAsia="zh-CN"/>
        </w:rPr>
        <w:t>行</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color w:val="auto"/>
          <w:sz w:val="72"/>
          <w:szCs w:val="72"/>
        </w:rPr>
      </w:pPr>
      <w:r>
        <w:rPr>
          <w:rFonts w:hint="eastAsia"/>
          <w:color w:val="auto"/>
          <w:sz w:val="72"/>
          <w:szCs w:val="72"/>
          <w:lang w:eastAsia="zh-CN"/>
        </w:rPr>
        <w:t>采</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rFonts w:hint="eastAsia"/>
          <w:color w:val="auto"/>
          <w:sz w:val="72"/>
          <w:szCs w:val="72"/>
          <w:lang w:eastAsia="zh-CN"/>
        </w:rPr>
      </w:pPr>
      <w:r>
        <w:rPr>
          <w:rFonts w:hint="eastAsia"/>
          <w:color w:val="auto"/>
          <w:sz w:val="72"/>
          <w:szCs w:val="72"/>
          <w:lang w:eastAsia="zh-CN"/>
        </w:rPr>
        <w:t>购</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rFonts w:hint="eastAsia"/>
          <w:color w:val="auto"/>
          <w:sz w:val="72"/>
          <w:szCs w:val="72"/>
          <w:lang w:eastAsia="zh-CN"/>
        </w:rPr>
      </w:pPr>
      <w:r>
        <w:rPr>
          <w:rFonts w:hint="eastAsia"/>
          <w:color w:val="auto"/>
          <w:sz w:val="72"/>
          <w:szCs w:val="72"/>
          <w:lang w:eastAsia="zh-CN"/>
        </w:rPr>
        <w:t>文</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rFonts w:hint="eastAsia"/>
          <w:color w:val="auto"/>
          <w:sz w:val="72"/>
          <w:szCs w:val="72"/>
          <w:lang w:eastAsia="zh-CN"/>
        </w:rPr>
      </w:pPr>
      <w:r>
        <w:rPr>
          <w:rFonts w:hint="eastAsia"/>
          <w:color w:val="auto"/>
          <w:sz w:val="72"/>
          <w:szCs w:val="72"/>
          <w:lang w:eastAsia="zh-CN"/>
        </w:rPr>
        <w:t>件</w:t>
      </w:r>
    </w:p>
    <w:p>
      <w:pPr>
        <w:pStyle w:val="18"/>
        <w:keepNext w:val="0"/>
        <w:keepLines w:val="0"/>
        <w:pageBreakBefore w:val="0"/>
        <w:widowControl w:val="0"/>
        <w:kinsoku/>
        <w:wordWrap/>
        <w:overflowPunct/>
        <w:topLinePunct w:val="0"/>
        <w:autoSpaceDE/>
        <w:autoSpaceDN/>
        <w:bidi w:val="0"/>
        <w:adjustRightInd/>
        <w:snapToGrid/>
        <w:spacing w:line="980" w:lineRule="exact"/>
        <w:ind w:firstLine="194" w:firstLineChars="27"/>
        <w:jc w:val="center"/>
        <w:textAlignment w:val="auto"/>
        <w:outlineLvl w:val="9"/>
        <w:rPr>
          <w:color w:val="auto"/>
          <w:sz w:val="72"/>
          <w:szCs w:val="72"/>
        </w:rPr>
      </w:pPr>
      <w:r>
        <w:rPr>
          <w:rFonts w:hint="eastAsia"/>
          <w:color w:val="auto"/>
          <w:sz w:val="72"/>
          <w:szCs w:val="72"/>
          <w:lang w:eastAsia="zh-CN"/>
        </w:rPr>
        <w:t>书</w:t>
      </w:r>
    </w:p>
    <w:p>
      <w:pPr>
        <w:pStyle w:val="18"/>
        <w:ind w:firstLine="640"/>
        <w:rPr>
          <w:color w:val="auto"/>
          <w:sz w:val="32"/>
          <w:szCs w:val="32"/>
        </w:rPr>
      </w:pPr>
    </w:p>
    <w:p>
      <w:pPr>
        <w:pStyle w:val="18"/>
        <w:ind w:firstLine="640"/>
        <w:rPr>
          <w:rFonts w:hint="eastAsia"/>
          <w:color w:val="auto"/>
          <w:sz w:val="32"/>
          <w:szCs w:val="32"/>
        </w:rPr>
      </w:pPr>
    </w:p>
    <w:p>
      <w:pPr>
        <w:pStyle w:val="18"/>
        <w:ind w:firstLine="640"/>
        <w:rPr>
          <w:color w:val="auto"/>
          <w:sz w:val="32"/>
          <w:szCs w:val="32"/>
        </w:rPr>
      </w:pPr>
      <w:r>
        <w:rPr>
          <w:rFonts w:hint="eastAsia" w:ascii="仿宋_GB2312" w:hAnsi="Times New Roman" w:eastAsia="黑体"/>
          <w:bCs/>
          <w:color w:val="auto"/>
          <w:kern w:val="44"/>
          <w:sz w:val="32"/>
          <w:szCs w:val="32"/>
        </w:rPr>
        <w:t>项目编号：</w:t>
      </w:r>
      <w:r>
        <w:rPr>
          <w:rFonts w:hint="eastAsia"/>
          <w:color w:val="auto"/>
          <w:sz w:val="32"/>
          <w:szCs w:val="32"/>
        </w:rPr>
        <w:t>NSRZJ</w:t>
      </w:r>
      <w:r>
        <w:rPr>
          <w:rFonts w:hint="eastAsia" w:ascii="Arial" w:hAnsi="Arial" w:eastAsia="宋体" w:cs="Times New Roman"/>
          <w:color w:val="auto"/>
          <w:sz w:val="32"/>
          <w:szCs w:val="32"/>
          <w:highlight w:val="none"/>
          <w:lang w:val="en-US" w:eastAsia="zh-CN"/>
        </w:rPr>
        <w:t>0003</w:t>
      </w:r>
      <w:r>
        <w:rPr>
          <w:rFonts w:hint="eastAsia"/>
          <w:color w:val="auto"/>
          <w:sz w:val="32"/>
          <w:szCs w:val="32"/>
          <w:lang w:val="en-US" w:eastAsia="zh-CN"/>
        </w:rPr>
        <w:t>（</w:t>
      </w:r>
      <w:r>
        <w:rPr>
          <w:rFonts w:hint="eastAsia"/>
          <w:color w:val="auto"/>
          <w:sz w:val="32"/>
          <w:szCs w:val="32"/>
        </w:rPr>
        <w:t>20</w:t>
      </w:r>
      <w:r>
        <w:rPr>
          <w:rFonts w:hint="eastAsia"/>
          <w:color w:val="auto"/>
          <w:sz w:val="32"/>
          <w:szCs w:val="32"/>
          <w:lang w:val="en-US" w:eastAsia="zh-CN"/>
        </w:rPr>
        <w:t>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Arial" w:hAnsi="Arial" w:eastAsia="宋体" w:cs="Times New Roman"/>
          <w:bCs w:val="0"/>
          <w:color w:val="auto"/>
          <w:kern w:val="2"/>
          <w:sz w:val="32"/>
          <w:szCs w:val="32"/>
          <w:highlight w:val="none"/>
          <w:lang w:val="en-US" w:eastAsia="zh-CN" w:bidi="ar-SA"/>
        </w:rPr>
      </w:pPr>
      <w:bookmarkStart w:id="0" w:name="_Toc17500"/>
      <w:r>
        <w:rPr>
          <w:rFonts w:hint="eastAsia"/>
          <w:color w:val="auto"/>
          <w:sz w:val="32"/>
          <w:szCs w:val="32"/>
        </w:rPr>
        <w:t>项目名称：</w:t>
      </w:r>
      <w:r>
        <w:rPr>
          <w:rFonts w:hint="default" w:ascii="Arial" w:hAnsi="Arial" w:eastAsia="宋体" w:cs="Times New Roman"/>
          <w:bCs w:val="0"/>
          <w:color w:val="auto"/>
          <w:kern w:val="2"/>
          <w:sz w:val="32"/>
          <w:szCs w:val="32"/>
          <w:highlight w:val="none"/>
          <w:lang w:val="en-US" w:eastAsia="zh-CN" w:bidi="ar-SA"/>
        </w:rPr>
        <w:t>深圳市南山区机关事业单位202</w:t>
      </w:r>
      <w:r>
        <w:rPr>
          <w:rFonts w:hint="eastAsia" w:ascii="Arial" w:hAnsi="Arial" w:eastAsia="宋体" w:cs="Times New Roman"/>
          <w:bCs w:val="0"/>
          <w:color w:val="auto"/>
          <w:kern w:val="2"/>
          <w:sz w:val="32"/>
          <w:szCs w:val="32"/>
          <w:highlight w:val="none"/>
          <w:lang w:val="en-US" w:eastAsia="zh-CN" w:bidi="ar-SA"/>
        </w:rPr>
        <w:t>3</w:t>
      </w:r>
      <w:r>
        <w:rPr>
          <w:rFonts w:hint="default" w:ascii="Arial" w:hAnsi="Arial" w:eastAsia="宋体" w:cs="Times New Roman"/>
          <w:bCs w:val="0"/>
          <w:color w:val="auto"/>
          <w:kern w:val="2"/>
          <w:sz w:val="32"/>
          <w:szCs w:val="32"/>
          <w:highlight w:val="none"/>
          <w:lang w:val="en-US" w:eastAsia="zh-CN" w:bidi="ar-SA"/>
        </w:rPr>
        <w:t>年第</w:t>
      </w:r>
      <w:r>
        <w:rPr>
          <w:rFonts w:hint="eastAsia" w:ascii="Arial" w:hAnsi="Arial" w:eastAsia="宋体" w:cs="Times New Roman"/>
          <w:bCs w:val="0"/>
          <w:color w:val="auto"/>
          <w:kern w:val="2"/>
          <w:sz w:val="32"/>
          <w:szCs w:val="32"/>
          <w:highlight w:val="none"/>
          <w:lang w:val="en-US" w:eastAsia="zh-CN" w:bidi="ar-SA"/>
        </w:rPr>
        <w:t>二</w:t>
      </w:r>
      <w:r>
        <w:rPr>
          <w:rFonts w:hint="default" w:ascii="Arial" w:hAnsi="Arial" w:eastAsia="宋体" w:cs="Times New Roman"/>
          <w:bCs w:val="0"/>
          <w:color w:val="auto"/>
          <w:kern w:val="2"/>
          <w:sz w:val="32"/>
          <w:szCs w:val="32"/>
          <w:highlight w:val="none"/>
          <w:lang w:val="en-US" w:eastAsia="zh-CN" w:bidi="ar-SA"/>
        </w:rPr>
        <w:t>季度</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center"/>
        <w:rPr>
          <w:rFonts w:hint="default" w:ascii="SourceHanSansCN" w:hAnsi="SourceHanSansCN" w:eastAsia="SourceHanSansCN" w:cs="SourceHanSansCN"/>
          <w:i w:val="0"/>
          <w:caps w:val="0"/>
          <w:color w:val="auto"/>
          <w:spacing w:val="0"/>
          <w:lang w:val="en-US"/>
        </w:rPr>
      </w:pPr>
      <w:bookmarkStart w:id="1" w:name="_Toc8562"/>
      <w:r>
        <w:rPr>
          <w:rFonts w:hint="eastAsia" w:ascii="Arial" w:hAnsi="Arial" w:eastAsia="宋体" w:cs="Times New Roman"/>
          <w:bCs w:val="0"/>
          <w:color w:val="auto"/>
          <w:kern w:val="2"/>
          <w:sz w:val="32"/>
          <w:szCs w:val="32"/>
          <w:highlight w:val="none"/>
          <w:lang w:val="en-US" w:eastAsia="zh-CN" w:bidi="ar-SA"/>
        </w:rPr>
        <w:t xml:space="preserve"> </w:t>
      </w:r>
      <w:r>
        <w:rPr>
          <w:rFonts w:hint="default" w:ascii="Arial" w:hAnsi="Arial" w:eastAsia="宋体" w:cs="Times New Roman"/>
          <w:bCs w:val="0"/>
          <w:color w:val="auto"/>
          <w:kern w:val="2"/>
          <w:sz w:val="32"/>
          <w:szCs w:val="32"/>
          <w:highlight w:val="none"/>
          <w:lang w:val="en-US" w:eastAsia="zh-CN" w:bidi="ar-SA"/>
        </w:rPr>
        <w:t>公开招聘编外人员</w:t>
      </w:r>
      <w:r>
        <w:rPr>
          <w:rFonts w:hint="eastAsia" w:ascii="Arial" w:hAnsi="Arial" w:eastAsia="宋体" w:cs="Times New Roman"/>
          <w:bCs w:val="0"/>
          <w:color w:val="auto"/>
          <w:kern w:val="2"/>
          <w:sz w:val="32"/>
          <w:szCs w:val="32"/>
          <w:highlight w:val="none"/>
          <w:lang w:val="en-US" w:eastAsia="zh-CN" w:bidi="ar-SA"/>
        </w:rPr>
        <w:t>技术性辅助性服务项目</w:t>
      </w:r>
      <w:bookmarkEnd w:id="1"/>
    </w:p>
    <w:p>
      <w:pPr>
        <w:pStyle w:val="18"/>
        <w:ind w:firstLine="640"/>
        <w:rPr>
          <w:color w:val="auto"/>
          <w:sz w:val="32"/>
          <w:szCs w:val="32"/>
        </w:rPr>
      </w:pPr>
    </w:p>
    <w:p>
      <w:pPr>
        <w:pStyle w:val="18"/>
        <w:ind w:firstLine="2880" w:firstLineChars="900"/>
        <w:rPr>
          <w:color w:val="auto"/>
          <w:sz w:val="32"/>
          <w:szCs w:val="32"/>
        </w:rPr>
      </w:pPr>
      <w:r>
        <w:rPr>
          <w:rFonts w:hint="eastAsia"/>
          <w:color w:val="auto"/>
          <w:sz w:val="32"/>
          <w:szCs w:val="32"/>
        </w:rPr>
        <w:t>20</w:t>
      </w:r>
      <w:r>
        <w:rPr>
          <w:rFonts w:hint="eastAsia"/>
          <w:color w:val="auto"/>
          <w:sz w:val="32"/>
          <w:szCs w:val="32"/>
          <w:lang w:val="en-US" w:eastAsia="zh-CN"/>
        </w:rPr>
        <w:t>23</w:t>
      </w:r>
      <w:r>
        <w:rPr>
          <w:rFonts w:hint="eastAsia"/>
          <w:color w:val="auto"/>
          <w:sz w:val="32"/>
          <w:szCs w:val="32"/>
        </w:rPr>
        <w:t xml:space="preserve"> 年 </w:t>
      </w:r>
      <w:r>
        <w:rPr>
          <w:rFonts w:hint="eastAsia"/>
          <w:color w:val="auto"/>
          <w:sz w:val="32"/>
          <w:szCs w:val="32"/>
          <w:lang w:val="en-US" w:eastAsia="zh-CN"/>
        </w:rPr>
        <w:t>3</w:t>
      </w:r>
      <w:r>
        <w:rPr>
          <w:rFonts w:hint="eastAsia"/>
          <w:color w:val="auto"/>
          <w:sz w:val="32"/>
          <w:szCs w:val="32"/>
        </w:rPr>
        <w:t>月</w:t>
      </w:r>
      <w:r>
        <w:rPr>
          <w:rFonts w:hint="eastAsia"/>
          <w:color w:val="auto"/>
          <w:sz w:val="32"/>
          <w:szCs w:val="32"/>
          <w:lang w:val="en-US" w:eastAsia="zh-CN"/>
        </w:rPr>
        <w:t>15</w:t>
      </w:r>
      <w:r>
        <w:rPr>
          <w:rFonts w:hint="eastAsia"/>
          <w:color w:val="auto"/>
          <w:sz w:val="32"/>
          <w:szCs w:val="32"/>
        </w:rPr>
        <w:t>日</w:t>
      </w:r>
    </w:p>
    <w:p>
      <w:pPr>
        <w:pStyle w:val="18"/>
        <w:tabs>
          <w:tab w:val="center" w:pos="4536"/>
          <w:tab w:val="left" w:pos="7680"/>
        </w:tabs>
        <w:ind w:firstLine="0" w:firstLineChars="0"/>
        <w:jc w:val="left"/>
        <w:rPr>
          <w:color w:val="auto"/>
          <w:sz w:val="44"/>
          <w:szCs w:val="44"/>
        </w:rPr>
      </w:pPr>
      <w:r>
        <w:rPr>
          <w:rFonts w:hint="eastAsia"/>
          <w:color w:val="auto"/>
          <w:sz w:val="32"/>
          <w:szCs w:val="32"/>
        </w:rPr>
        <w:br w:type="page"/>
      </w:r>
      <w:r>
        <w:rPr>
          <w:rFonts w:hint="eastAsia"/>
          <w:color w:val="auto"/>
          <w:sz w:val="32"/>
          <w:szCs w:val="32"/>
          <w:lang w:val="en-US" w:eastAsia="zh-CN"/>
        </w:rPr>
        <w:t xml:space="preserve">                           </w:t>
      </w:r>
      <w:r>
        <w:rPr>
          <w:color w:val="auto"/>
          <w:sz w:val="44"/>
          <w:szCs w:val="44"/>
          <w:lang w:val="zh-CN"/>
        </w:rPr>
        <w:t>目录</w:t>
      </w:r>
      <w:r>
        <w:rPr>
          <w:color w:val="auto"/>
          <w:sz w:val="44"/>
          <w:szCs w:val="44"/>
          <w:lang w:val="zh-CN"/>
        </w:rPr>
        <w:tab/>
      </w:r>
    </w:p>
    <w:p>
      <w:pPr>
        <w:pStyle w:val="10"/>
        <w:tabs>
          <w:tab w:val="right" w:leader="dot" w:pos="9073"/>
        </w:tabs>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 w:val="21"/>
          <w:szCs w:val="21"/>
        </w:rPr>
        <w:fldChar w:fldCharType="begin"/>
      </w:r>
      <w:r>
        <w:rPr>
          <w:rFonts w:hint="eastAsia" w:asciiTheme="minorEastAsia" w:hAnsiTheme="minorEastAsia" w:eastAsiaTheme="minorEastAsia" w:cstheme="minorEastAsia"/>
          <w:i w:val="0"/>
          <w:iCs w:val="0"/>
          <w:color w:val="auto"/>
          <w:sz w:val="21"/>
          <w:szCs w:val="21"/>
        </w:rPr>
        <w:instrText xml:space="preserve"> TOC \o "1-3" \h \z \u </w:instrText>
      </w:r>
      <w:r>
        <w:rPr>
          <w:rFonts w:hint="eastAsia" w:asciiTheme="minorEastAsia" w:hAnsiTheme="minorEastAsia" w:eastAsiaTheme="minorEastAsia" w:cstheme="minorEastAsia"/>
          <w:i w:val="0"/>
          <w:iCs w:val="0"/>
          <w:color w:val="auto"/>
          <w:sz w:val="21"/>
          <w:szCs w:val="21"/>
        </w:rPr>
        <w:fldChar w:fldCharType="separate"/>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_Toc14417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i w:val="0"/>
          <w:iCs w:val="0"/>
          <w:color w:val="auto"/>
          <w:szCs w:val="32"/>
        </w:rPr>
        <w:t xml:space="preserve">第一章 </w:t>
      </w:r>
      <w:r>
        <w:rPr>
          <w:rFonts w:hint="eastAsia" w:asciiTheme="minorEastAsia" w:hAnsiTheme="minorEastAsia" w:eastAsiaTheme="minorEastAsia" w:cstheme="minorEastAsia"/>
          <w:i w:val="0"/>
          <w:iCs w:val="0"/>
          <w:color w:val="auto"/>
          <w:szCs w:val="32"/>
          <w:lang w:val="en-US" w:eastAsia="zh-CN"/>
        </w:rPr>
        <w:t>项目</w:t>
      </w:r>
      <w:r>
        <w:rPr>
          <w:rFonts w:hint="eastAsia" w:asciiTheme="minorEastAsia" w:hAnsiTheme="minorEastAsia" w:eastAsiaTheme="minorEastAsia" w:cstheme="minorEastAsia"/>
          <w:i w:val="0"/>
          <w:iCs w:val="0"/>
          <w:color w:val="auto"/>
          <w:szCs w:val="32"/>
        </w:rPr>
        <w:t>须知</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_Toc14417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3</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_Toc28349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i w:val="0"/>
          <w:iCs w:val="0"/>
          <w:color w:val="auto"/>
          <w:szCs w:val="32"/>
          <w:lang w:val="en-US" w:eastAsia="zh-CN"/>
        </w:rPr>
        <w:t>第二章 项目需求</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_Toc28349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4</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_Toc2578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rPr>
        <w:t>（一）项目概况</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_Toc2578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4</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_Toc11580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rPr>
        <w:t>（二）供应商应具备的资格要求</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_Toc11580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4</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_Toc4466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rPr>
        <w:t>（三）目标</w:t>
      </w:r>
      <w:r>
        <w:rPr>
          <w:rFonts w:hint="eastAsia" w:asciiTheme="minorEastAsia" w:hAnsiTheme="minorEastAsia" w:eastAsiaTheme="minorEastAsia" w:cstheme="minorEastAsia"/>
          <w:bCs/>
          <w:i w:val="0"/>
          <w:iCs w:val="0"/>
          <w:color w:val="auto"/>
          <w:szCs w:val="24"/>
          <w:highlight w:val="none"/>
          <w:lang w:eastAsia="zh-CN"/>
        </w:rPr>
        <w:t>任务、工作内容</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_Toc4466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5</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_Toc13349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lang w:val="en-US" w:eastAsia="zh-CN"/>
        </w:rPr>
        <w:t>（四）服务</w:t>
      </w:r>
      <w:r>
        <w:rPr>
          <w:rFonts w:hint="eastAsia" w:asciiTheme="minorEastAsia" w:hAnsiTheme="minorEastAsia" w:eastAsiaTheme="minorEastAsia" w:cstheme="minorEastAsia"/>
          <w:bCs/>
          <w:i w:val="0"/>
          <w:iCs w:val="0"/>
          <w:color w:val="auto"/>
          <w:szCs w:val="24"/>
          <w:highlight w:val="none"/>
        </w:rPr>
        <w:t>要求</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_Toc13349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5</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_Toc29881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lang w:val="en-US" w:eastAsia="zh-CN"/>
        </w:rPr>
        <w:t>（五）投标报价要求</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_Toc29881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5</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_Toc13539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bCs/>
          <w:i w:val="0"/>
          <w:iCs w:val="0"/>
          <w:color w:val="auto"/>
          <w:szCs w:val="24"/>
          <w:highlight w:val="none"/>
          <w:lang w:val="en-US" w:eastAsia="zh-CN"/>
        </w:rPr>
        <w:t>（六）项目管理要求</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_Toc13539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6</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_Toc15077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i w:val="0"/>
          <w:iCs w:val="0"/>
          <w:color w:val="auto"/>
          <w:szCs w:val="32"/>
          <w:lang w:val="en-US" w:eastAsia="zh-CN"/>
        </w:rPr>
        <w:t>第三章 评分标准</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_Toc15077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7</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rPr>
          <w:rFonts w:hint="eastAsia" w:asciiTheme="minorEastAsia" w:hAnsiTheme="minorEastAsia" w:eastAsiaTheme="minorEastAsia" w:cstheme="minorEastAsia"/>
          <w:i w:val="0"/>
          <w:iCs w:val="0"/>
          <w:color w:val="auto"/>
          <w:szCs w:val="21"/>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_Toc12495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i w:val="0"/>
          <w:iCs w:val="0"/>
          <w:color w:val="auto"/>
          <w:szCs w:val="32"/>
        </w:rPr>
        <w:t>第四章 投标文件的组成</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_Toc12495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11</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10"/>
        <w:tabs>
          <w:tab w:val="right" w:leader="dot" w:pos="9073"/>
        </w:tabs>
        <w:spacing w:before="0" w:after="0" w:line="440" w:lineRule="exact"/>
        <w:ind w:firstLine="422" w:firstLineChars="200"/>
        <w:rPr>
          <w:rFonts w:hint="eastAsia" w:asciiTheme="minorEastAsia" w:hAnsiTheme="minorEastAsia" w:eastAsiaTheme="minorEastAsia" w:cstheme="minorEastAsia"/>
          <w:i w:val="0"/>
          <w:iCs w:val="0"/>
          <w:color w:val="auto"/>
          <w:szCs w:val="21"/>
        </w:rPr>
      </w:pPr>
      <w:r>
        <w:rPr>
          <w:rFonts w:hint="eastAsia" w:asciiTheme="minorEastAsia" w:hAnsiTheme="minorEastAsia" w:eastAsiaTheme="minorEastAsia" w:cstheme="minorEastAsia"/>
          <w:i w:val="0"/>
          <w:iCs w:val="0"/>
          <w:color w:val="auto"/>
          <w:szCs w:val="21"/>
        </w:rPr>
        <w:fldChar w:fldCharType="begin"/>
      </w:r>
      <w:r>
        <w:rPr>
          <w:rFonts w:hint="eastAsia" w:asciiTheme="minorEastAsia" w:hAnsiTheme="minorEastAsia" w:eastAsiaTheme="minorEastAsia" w:cstheme="minorEastAsia"/>
          <w:i w:val="0"/>
          <w:iCs w:val="0"/>
          <w:color w:val="auto"/>
          <w:szCs w:val="21"/>
        </w:rPr>
        <w:instrText xml:space="preserve"> HYPERLINK \l _Toc12495 </w:instrText>
      </w:r>
      <w:r>
        <w:rPr>
          <w:rFonts w:hint="eastAsia" w:asciiTheme="minorEastAsia" w:hAnsiTheme="minorEastAsia" w:eastAsiaTheme="minorEastAsia" w:cstheme="minorEastAsia"/>
          <w:i w:val="0"/>
          <w:iCs w:val="0"/>
          <w:color w:val="auto"/>
          <w:szCs w:val="21"/>
        </w:rPr>
        <w:fldChar w:fldCharType="separate"/>
      </w:r>
      <w:r>
        <w:rPr>
          <w:rFonts w:hint="eastAsia" w:asciiTheme="minorEastAsia" w:hAnsiTheme="minorEastAsia" w:eastAsiaTheme="minorEastAsia" w:cstheme="minorEastAsia"/>
          <w:i w:val="0"/>
          <w:iCs w:val="0"/>
          <w:color w:val="auto"/>
          <w:szCs w:val="32"/>
          <w:lang w:val="en-US" w:eastAsia="zh-CN"/>
        </w:rPr>
        <w:t>1、</w:t>
      </w:r>
      <w:r>
        <w:rPr>
          <w:rFonts w:hint="eastAsia" w:asciiTheme="minorEastAsia" w:hAnsiTheme="minorEastAsia" w:eastAsiaTheme="minorEastAsia" w:cstheme="minorEastAsia"/>
          <w:i w:val="0"/>
          <w:iCs w:val="0"/>
          <w:color w:val="auto"/>
          <w:szCs w:val="32"/>
        </w:rPr>
        <w:t>投标文件</w:t>
      </w:r>
      <w:r>
        <w:rPr>
          <w:rFonts w:hint="eastAsia" w:asciiTheme="minorEastAsia" w:hAnsiTheme="minorEastAsia" w:eastAsiaTheme="minorEastAsia" w:cstheme="minorEastAsia"/>
          <w:i w:val="0"/>
          <w:iCs w:val="0"/>
          <w:color w:val="auto"/>
          <w:szCs w:val="32"/>
          <w:lang w:val="en-US" w:eastAsia="zh-CN"/>
        </w:rPr>
        <w:t>封面</w:t>
      </w:r>
      <w:r>
        <w:rPr>
          <w:rFonts w:hint="eastAsia" w:asciiTheme="minorEastAsia" w:hAnsiTheme="minorEastAsia" w:eastAsiaTheme="minorEastAsia" w:cstheme="minorEastAsia"/>
          <w:i w:val="0"/>
          <w:iCs w:val="0"/>
          <w:color w:val="auto"/>
        </w:rPr>
        <w:tab/>
      </w:r>
      <w:r>
        <w:rPr>
          <w:rFonts w:hint="eastAsia" w:asciiTheme="minorEastAsia" w:hAnsiTheme="minorEastAsia" w:eastAsiaTheme="minorEastAsia" w:cstheme="minorEastAsia"/>
          <w:i w:val="0"/>
          <w:iCs w:val="0"/>
          <w:color w:val="auto"/>
        </w:rPr>
        <w:fldChar w:fldCharType="begin"/>
      </w:r>
      <w:r>
        <w:rPr>
          <w:rFonts w:hint="eastAsia" w:asciiTheme="minorEastAsia" w:hAnsiTheme="minorEastAsia" w:eastAsiaTheme="minorEastAsia" w:cstheme="minorEastAsia"/>
          <w:i w:val="0"/>
          <w:iCs w:val="0"/>
          <w:color w:val="auto"/>
        </w:rPr>
        <w:instrText xml:space="preserve"> PAGEREF _Toc12495 \h </w:instrText>
      </w:r>
      <w:r>
        <w:rPr>
          <w:rFonts w:hint="eastAsia" w:asciiTheme="minorEastAsia" w:hAnsiTheme="minorEastAsia" w:eastAsiaTheme="minorEastAsia" w:cstheme="minorEastAsia"/>
          <w:i w:val="0"/>
          <w:iCs w:val="0"/>
          <w:color w:val="auto"/>
        </w:rPr>
        <w:fldChar w:fldCharType="separate"/>
      </w:r>
      <w:r>
        <w:rPr>
          <w:rFonts w:hint="eastAsia" w:asciiTheme="minorEastAsia" w:hAnsiTheme="minorEastAsia" w:eastAsiaTheme="minorEastAsia" w:cstheme="minorEastAsia"/>
          <w:i w:val="0"/>
          <w:iCs w:val="0"/>
          <w:color w:val="auto"/>
        </w:rPr>
        <w:t>11</w:t>
      </w:r>
      <w:r>
        <w:rPr>
          <w:rFonts w:hint="eastAsia" w:asciiTheme="minorEastAsia" w:hAnsiTheme="minorEastAsia" w:eastAsiaTheme="minorEastAsia" w:cstheme="minorEastAsia"/>
          <w:i w:val="0"/>
          <w:iCs w:val="0"/>
          <w:color w:val="auto"/>
        </w:rPr>
        <w:fldChar w:fldCharType="end"/>
      </w:r>
      <w:r>
        <w:rPr>
          <w:rFonts w:hint="eastAsia" w:asciiTheme="minorEastAsia" w:hAnsiTheme="minorEastAsia" w:eastAsiaTheme="minorEastAsia" w:cstheme="minorEastAsia"/>
          <w:i w:val="0"/>
          <w:iCs w:val="0"/>
          <w:color w:val="auto"/>
          <w:szCs w:val="21"/>
        </w:rPr>
        <w:fldChar w:fldCharType="end"/>
      </w:r>
    </w:p>
    <w:p>
      <w:pPr>
        <w:pStyle w:val="6"/>
        <w:tabs>
          <w:tab w:val="right" w:leader="dot" w:pos="9073"/>
        </w:tabs>
        <w:spacing w:line="440" w:lineRule="exact"/>
        <w:rPr>
          <w:rFonts w:hint="eastAsia" w:asciiTheme="minorEastAsia" w:hAnsiTheme="minorEastAsia" w:eastAsiaTheme="minorEastAsia" w:cstheme="minorEastAsia"/>
          <w:b/>
          <w:bCs/>
          <w:i w:val="0"/>
          <w:iCs w:val="0"/>
          <w:color w:val="auto"/>
        </w:rPr>
      </w:pPr>
      <w:r>
        <w:rPr>
          <w:rFonts w:hint="eastAsia" w:asciiTheme="minorEastAsia" w:hAnsiTheme="minorEastAsia" w:eastAsiaTheme="minorEastAsia" w:cstheme="minorEastAsia"/>
          <w:b/>
          <w:bCs/>
          <w:i w:val="0"/>
          <w:iCs w:val="0"/>
          <w:color w:val="auto"/>
          <w:szCs w:val="21"/>
        </w:rPr>
        <w:fldChar w:fldCharType="begin"/>
      </w:r>
      <w:r>
        <w:rPr>
          <w:rFonts w:hint="eastAsia" w:asciiTheme="minorEastAsia" w:hAnsiTheme="minorEastAsia" w:eastAsiaTheme="minorEastAsia" w:cstheme="minorEastAsia"/>
          <w:b/>
          <w:bCs/>
          <w:i w:val="0"/>
          <w:iCs w:val="0"/>
          <w:color w:val="auto"/>
          <w:szCs w:val="21"/>
        </w:rPr>
        <w:instrText xml:space="preserve"> HYPERLINK \l _Toc25843 </w:instrText>
      </w:r>
      <w:r>
        <w:rPr>
          <w:rFonts w:hint="eastAsia" w:asciiTheme="minorEastAsia" w:hAnsiTheme="minorEastAsia" w:eastAsiaTheme="minorEastAsia" w:cstheme="minorEastAsia"/>
          <w:b/>
          <w:bCs/>
          <w:i w:val="0"/>
          <w:iCs w:val="0"/>
          <w:color w:val="auto"/>
          <w:szCs w:val="21"/>
        </w:rPr>
        <w:fldChar w:fldCharType="separate"/>
      </w:r>
      <w:r>
        <w:rPr>
          <w:rFonts w:hint="eastAsia" w:asciiTheme="minorEastAsia" w:hAnsiTheme="minorEastAsia" w:eastAsiaTheme="minorEastAsia" w:cstheme="minorEastAsia"/>
          <w:b/>
          <w:bCs/>
          <w:i w:val="0"/>
          <w:iCs w:val="0"/>
          <w:color w:val="auto"/>
          <w:lang w:val="en-US" w:eastAsia="zh-CN"/>
        </w:rPr>
        <w:t>2</w:t>
      </w:r>
      <w:r>
        <w:rPr>
          <w:rFonts w:hint="eastAsia" w:asciiTheme="minorEastAsia" w:hAnsiTheme="minorEastAsia" w:eastAsiaTheme="minorEastAsia" w:cstheme="minorEastAsia"/>
          <w:b/>
          <w:bCs/>
          <w:i w:val="0"/>
          <w:iCs w:val="0"/>
          <w:color w:val="auto"/>
        </w:rPr>
        <w:t>、法定代表人证明书</w:t>
      </w:r>
      <w:r>
        <w:rPr>
          <w:rFonts w:hint="eastAsia" w:asciiTheme="minorEastAsia" w:hAnsiTheme="minorEastAsia" w:eastAsiaTheme="minorEastAsia" w:cstheme="minorEastAsia"/>
          <w:b/>
          <w:bCs/>
          <w:i w:val="0"/>
          <w:iCs w:val="0"/>
          <w:color w:val="auto"/>
        </w:rPr>
        <w:tab/>
      </w:r>
      <w:r>
        <w:rPr>
          <w:rFonts w:hint="eastAsia" w:asciiTheme="minorEastAsia" w:hAnsiTheme="minorEastAsia" w:eastAsiaTheme="minorEastAsia" w:cstheme="minorEastAsia"/>
          <w:b/>
          <w:bCs/>
          <w:i w:val="0"/>
          <w:iCs w:val="0"/>
          <w:color w:val="auto"/>
        </w:rPr>
        <w:fldChar w:fldCharType="begin"/>
      </w:r>
      <w:r>
        <w:rPr>
          <w:rFonts w:hint="eastAsia" w:asciiTheme="minorEastAsia" w:hAnsiTheme="minorEastAsia" w:eastAsiaTheme="minorEastAsia" w:cstheme="minorEastAsia"/>
          <w:b/>
          <w:bCs/>
          <w:i w:val="0"/>
          <w:iCs w:val="0"/>
          <w:color w:val="auto"/>
        </w:rPr>
        <w:instrText xml:space="preserve"> PAGEREF _Toc25843 \h </w:instrText>
      </w:r>
      <w:r>
        <w:rPr>
          <w:rFonts w:hint="eastAsia" w:asciiTheme="minorEastAsia" w:hAnsiTheme="minorEastAsia" w:eastAsiaTheme="minorEastAsia" w:cstheme="minorEastAsia"/>
          <w:b/>
          <w:bCs/>
          <w:i w:val="0"/>
          <w:iCs w:val="0"/>
          <w:color w:val="auto"/>
        </w:rPr>
        <w:fldChar w:fldCharType="separate"/>
      </w:r>
      <w:r>
        <w:rPr>
          <w:rFonts w:hint="eastAsia" w:asciiTheme="minorEastAsia" w:hAnsiTheme="minorEastAsia" w:eastAsiaTheme="minorEastAsia" w:cstheme="minorEastAsia"/>
          <w:b/>
          <w:bCs/>
          <w:i w:val="0"/>
          <w:iCs w:val="0"/>
          <w:color w:val="auto"/>
        </w:rPr>
        <w:t>13</w:t>
      </w:r>
      <w:r>
        <w:rPr>
          <w:rFonts w:hint="eastAsia" w:asciiTheme="minorEastAsia" w:hAnsiTheme="minorEastAsia" w:eastAsiaTheme="minorEastAsia" w:cstheme="minorEastAsia"/>
          <w:b/>
          <w:bCs/>
          <w:i w:val="0"/>
          <w:iCs w:val="0"/>
          <w:color w:val="auto"/>
        </w:rPr>
        <w:fldChar w:fldCharType="end"/>
      </w:r>
      <w:r>
        <w:rPr>
          <w:rFonts w:hint="eastAsia" w:asciiTheme="minorEastAsia" w:hAnsiTheme="minorEastAsia" w:eastAsiaTheme="minorEastAsia" w:cstheme="minorEastAsia"/>
          <w:b/>
          <w:bCs/>
          <w:i w:val="0"/>
          <w:iCs w:val="0"/>
          <w:color w:val="auto"/>
          <w:szCs w:val="21"/>
        </w:rPr>
        <w:fldChar w:fldCharType="end"/>
      </w:r>
    </w:p>
    <w:p>
      <w:pPr>
        <w:pStyle w:val="6"/>
        <w:tabs>
          <w:tab w:val="right" w:leader="dot" w:pos="9073"/>
        </w:tabs>
        <w:spacing w:line="440" w:lineRule="exact"/>
        <w:rPr>
          <w:rFonts w:hint="eastAsia" w:asciiTheme="minorEastAsia" w:hAnsiTheme="minorEastAsia" w:eastAsiaTheme="minorEastAsia" w:cstheme="minorEastAsia"/>
          <w:b/>
          <w:bCs/>
          <w:i w:val="0"/>
          <w:iCs w:val="0"/>
          <w:color w:val="auto"/>
        </w:rPr>
      </w:pPr>
      <w:r>
        <w:rPr>
          <w:rFonts w:hint="eastAsia" w:asciiTheme="minorEastAsia" w:hAnsiTheme="minorEastAsia" w:eastAsiaTheme="minorEastAsia" w:cstheme="minorEastAsia"/>
          <w:b/>
          <w:bCs/>
          <w:i w:val="0"/>
          <w:iCs w:val="0"/>
          <w:color w:val="auto"/>
          <w:szCs w:val="21"/>
        </w:rPr>
        <w:fldChar w:fldCharType="begin"/>
      </w:r>
      <w:r>
        <w:rPr>
          <w:rFonts w:hint="eastAsia" w:asciiTheme="minorEastAsia" w:hAnsiTheme="minorEastAsia" w:eastAsiaTheme="minorEastAsia" w:cstheme="minorEastAsia"/>
          <w:b/>
          <w:bCs/>
          <w:i w:val="0"/>
          <w:iCs w:val="0"/>
          <w:color w:val="auto"/>
          <w:szCs w:val="21"/>
        </w:rPr>
        <w:instrText xml:space="preserve"> HYPERLINK \l _Toc15828 </w:instrText>
      </w:r>
      <w:r>
        <w:rPr>
          <w:rFonts w:hint="eastAsia" w:asciiTheme="minorEastAsia" w:hAnsiTheme="minorEastAsia" w:eastAsiaTheme="minorEastAsia" w:cstheme="minorEastAsia"/>
          <w:b/>
          <w:bCs/>
          <w:i w:val="0"/>
          <w:iCs w:val="0"/>
          <w:color w:val="auto"/>
          <w:szCs w:val="21"/>
        </w:rPr>
        <w:fldChar w:fldCharType="separate"/>
      </w:r>
      <w:r>
        <w:rPr>
          <w:rFonts w:hint="eastAsia" w:asciiTheme="minorEastAsia" w:hAnsiTheme="minorEastAsia" w:eastAsiaTheme="minorEastAsia" w:cstheme="minorEastAsia"/>
          <w:b/>
          <w:bCs/>
          <w:i w:val="0"/>
          <w:iCs w:val="0"/>
          <w:color w:val="auto"/>
          <w:lang w:val="en-US" w:eastAsia="zh-CN"/>
        </w:rPr>
        <w:t>3、投标文件签署授权委托书</w:t>
      </w:r>
      <w:r>
        <w:rPr>
          <w:rFonts w:hint="eastAsia" w:asciiTheme="minorEastAsia" w:hAnsiTheme="minorEastAsia" w:eastAsiaTheme="minorEastAsia" w:cstheme="minorEastAsia"/>
          <w:b/>
          <w:bCs/>
          <w:i w:val="0"/>
          <w:iCs w:val="0"/>
          <w:color w:val="auto"/>
        </w:rPr>
        <w:tab/>
      </w:r>
      <w:r>
        <w:rPr>
          <w:rFonts w:hint="eastAsia" w:asciiTheme="minorEastAsia" w:hAnsiTheme="minorEastAsia" w:eastAsiaTheme="minorEastAsia" w:cstheme="minorEastAsia"/>
          <w:b/>
          <w:bCs/>
          <w:i w:val="0"/>
          <w:iCs w:val="0"/>
          <w:color w:val="auto"/>
        </w:rPr>
        <w:fldChar w:fldCharType="begin"/>
      </w:r>
      <w:r>
        <w:rPr>
          <w:rFonts w:hint="eastAsia" w:asciiTheme="minorEastAsia" w:hAnsiTheme="minorEastAsia" w:eastAsiaTheme="minorEastAsia" w:cstheme="minorEastAsia"/>
          <w:b/>
          <w:bCs/>
          <w:i w:val="0"/>
          <w:iCs w:val="0"/>
          <w:color w:val="auto"/>
        </w:rPr>
        <w:instrText xml:space="preserve"> PAGEREF _Toc15828 \h </w:instrText>
      </w:r>
      <w:r>
        <w:rPr>
          <w:rFonts w:hint="eastAsia" w:asciiTheme="minorEastAsia" w:hAnsiTheme="minorEastAsia" w:eastAsiaTheme="minorEastAsia" w:cstheme="minorEastAsia"/>
          <w:b/>
          <w:bCs/>
          <w:i w:val="0"/>
          <w:iCs w:val="0"/>
          <w:color w:val="auto"/>
        </w:rPr>
        <w:fldChar w:fldCharType="separate"/>
      </w:r>
      <w:r>
        <w:rPr>
          <w:rFonts w:hint="eastAsia" w:asciiTheme="minorEastAsia" w:hAnsiTheme="minorEastAsia" w:eastAsiaTheme="minorEastAsia" w:cstheme="minorEastAsia"/>
          <w:b/>
          <w:bCs/>
          <w:i w:val="0"/>
          <w:iCs w:val="0"/>
          <w:color w:val="auto"/>
        </w:rPr>
        <w:t>14</w:t>
      </w:r>
      <w:r>
        <w:rPr>
          <w:rFonts w:hint="eastAsia" w:asciiTheme="minorEastAsia" w:hAnsiTheme="minorEastAsia" w:eastAsiaTheme="minorEastAsia" w:cstheme="minorEastAsia"/>
          <w:b/>
          <w:bCs/>
          <w:i w:val="0"/>
          <w:iCs w:val="0"/>
          <w:color w:val="auto"/>
        </w:rPr>
        <w:fldChar w:fldCharType="end"/>
      </w:r>
      <w:r>
        <w:rPr>
          <w:rFonts w:hint="eastAsia" w:asciiTheme="minorEastAsia" w:hAnsiTheme="minorEastAsia" w:eastAsiaTheme="minorEastAsia" w:cstheme="minorEastAsia"/>
          <w:b/>
          <w:bCs/>
          <w:i w:val="0"/>
          <w:iCs w:val="0"/>
          <w:color w:val="auto"/>
          <w:szCs w:val="21"/>
        </w:rPr>
        <w:fldChar w:fldCharType="end"/>
      </w:r>
    </w:p>
    <w:p>
      <w:pPr>
        <w:pStyle w:val="6"/>
        <w:tabs>
          <w:tab w:val="right" w:leader="dot" w:pos="9073"/>
        </w:tabs>
        <w:spacing w:line="440" w:lineRule="exact"/>
        <w:rPr>
          <w:rFonts w:hint="eastAsia" w:asciiTheme="minorEastAsia" w:hAnsiTheme="minorEastAsia" w:eastAsiaTheme="minorEastAsia" w:cstheme="minorEastAsia"/>
          <w:b/>
          <w:bCs/>
          <w:i w:val="0"/>
          <w:iCs w:val="0"/>
          <w:color w:val="auto"/>
        </w:rPr>
      </w:pPr>
      <w:r>
        <w:rPr>
          <w:rFonts w:hint="eastAsia" w:asciiTheme="minorEastAsia" w:hAnsiTheme="minorEastAsia" w:eastAsiaTheme="minorEastAsia" w:cstheme="minorEastAsia"/>
          <w:b/>
          <w:bCs/>
          <w:i w:val="0"/>
          <w:iCs w:val="0"/>
          <w:color w:val="auto"/>
          <w:szCs w:val="21"/>
        </w:rPr>
        <w:fldChar w:fldCharType="begin"/>
      </w:r>
      <w:r>
        <w:rPr>
          <w:rFonts w:hint="eastAsia" w:asciiTheme="minorEastAsia" w:hAnsiTheme="minorEastAsia" w:eastAsiaTheme="minorEastAsia" w:cstheme="minorEastAsia"/>
          <w:b/>
          <w:bCs/>
          <w:i w:val="0"/>
          <w:iCs w:val="0"/>
          <w:color w:val="auto"/>
          <w:szCs w:val="21"/>
        </w:rPr>
        <w:instrText xml:space="preserve"> HYPERLINK \l _Toc28281 </w:instrText>
      </w:r>
      <w:r>
        <w:rPr>
          <w:rFonts w:hint="eastAsia" w:asciiTheme="minorEastAsia" w:hAnsiTheme="minorEastAsia" w:eastAsiaTheme="minorEastAsia" w:cstheme="minorEastAsia"/>
          <w:b/>
          <w:bCs/>
          <w:i w:val="0"/>
          <w:iCs w:val="0"/>
          <w:color w:val="auto"/>
          <w:szCs w:val="21"/>
        </w:rPr>
        <w:fldChar w:fldCharType="separate"/>
      </w:r>
      <w:r>
        <w:rPr>
          <w:rFonts w:hint="eastAsia" w:asciiTheme="minorEastAsia" w:hAnsiTheme="minorEastAsia" w:eastAsiaTheme="minorEastAsia" w:cstheme="minorEastAsia"/>
          <w:b/>
          <w:bCs/>
          <w:i w:val="0"/>
          <w:iCs w:val="0"/>
          <w:color w:val="auto"/>
          <w:lang w:val="en-US" w:eastAsia="zh-CN"/>
        </w:rPr>
        <w:t>4、承诺函</w:t>
      </w:r>
      <w:r>
        <w:rPr>
          <w:rFonts w:hint="eastAsia" w:asciiTheme="minorEastAsia" w:hAnsiTheme="minorEastAsia" w:eastAsiaTheme="minorEastAsia" w:cstheme="minorEastAsia"/>
          <w:b/>
          <w:bCs/>
          <w:i w:val="0"/>
          <w:iCs w:val="0"/>
          <w:color w:val="auto"/>
        </w:rPr>
        <w:tab/>
      </w:r>
      <w:r>
        <w:rPr>
          <w:rFonts w:hint="eastAsia" w:asciiTheme="minorEastAsia" w:hAnsiTheme="minorEastAsia" w:eastAsiaTheme="minorEastAsia" w:cstheme="minorEastAsia"/>
          <w:b/>
          <w:bCs/>
          <w:i w:val="0"/>
          <w:iCs w:val="0"/>
          <w:color w:val="auto"/>
        </w:rPr>
        <w:fldChar w:fldCharType="begin"/>
      </w:r>
      <w:r>
        <w:rPr>
          <w:rFonts w:hint="eastAsia" w:asciiTheme="minorEastAsia" w:hAnsiTheme="minorEastAsia" w:eastAsiaTheme="minorEastAsia" w:cstheme="minorEastAsia"/>
          <w:b/>
          <w:bCs/>
          <w:i w:val="0"/>
          <w:iCs w:val="0"/>
          <w:color w:val="auto"/>
        </w:rPr>
        <w:instrText xml:space="preserve"> PAGEREF _Toc28281 \h </w:instrText>
      </w:r>
      <w:r>
        <w:rPr>
          <w:rFonts w:hint="eastAsia" w:asciiTheme="minorEastAsia" w:hAnsiTheme="minorEastAsia" w:eastAsiaTheme="minorEastAsia" w:cstheme="minorEastAsia"/>
          <w:b/>
          <w:bCs/>
          <w:i w:val="0"/>
          <w:iCs w:val="0"/>
          <w:color w:val="auto"/>
        </w:rPr>
        <w:fldChar w:fldCharType="separate"/>
      </w:r>
      <w:r>
        <w:rPr>
          <w:rFonts w:hint="eastAsia" w:asciiTheme="minorEastAsia" w:hAnsiTheme="minorEastAsia" w:eastAsiaTheme="minorEastAsia" w:cstheme="minorEastAsia"/>
          <w:b/>
          <w:bCs/>
          <w:i w:val="0"/>
          <w:iCs w:val="0"/>
          <w:color w:val="auto"/>
        </w:rPr>
        <w:t>15</w:t>
      </w:r>
      <w:r>
        <w:rPr>
          <w:rFonts w:hint="eastAsia" w:asciiTheme="minorEastAsia" w:hAnsiTheme="minorEastAsia" w:eastAsiaTheme="minorEastAsia" w:cstheme="minorEastAsia"/>
          <w:b/>
          <w:bCs/>
          <w:i w:val="0"/>
          <w:iCs w:val="0"/>
          <w:color w:val="auto"/>
        </w:rPr>
        <w:fldChar w:fldCharType="end"/>
      </w:r>
      <w:r>
        <w:rPr>
          <w:rFonts w:hint="eastAsia" w:asciiTheme="minorEastAsia" w:hAnsiTheme="minorEastAsia" w:eastAsiaTheme="minorEastAsia" w:cstheme="minorEastAsia"/>
          <w:b/>
          <w:bCs/>
          <w:i w:val="0"/>
          <w:iCs w:val="0"/>
          <w:color w:val="auto"/>
          <w:szCs w:val="21"/>
        </w:rPr>
        <w:fldChar w:fldCharType="end"/>
      </w:r>
    </w:p>
    <w:p>
      <w:pPr>
        <w:pStyle w:val="6"/>
        <w:tabs>
          <w:tab w:val="right" w:leader="dot" w:pos="9073"/>
        </w:tabs>
        <w:spacing w:line="440" w:lineRule="exact"/>
        <w:rPr>
          <w:rFonts w:hint="eastAsia" w:asciiTheme="minorEastAsia" w:hAnsiTheme="minorEastAsia" w:eastAsiaTheme="minorEastAsia" w:cstheme="minorEastAsia"/>
          <w:b/>
          <w:bCs/>
          <w:i w:val="0"/>
          <w:iCs w:val="0"/>
          <w:color w:val="auto"/>
        </w:rPr>
      </w:pPr>
      <w:r>
        <w:rPr>
          <w:rFonts w:hint="eastAsia" w:asciiTheme="minorEastAsia" w:hAnsiTheme="minorEastAsia" w:eastAsiaTheme="minorEastAsia" w:cstheme="minorEastAsia"/>
          <w:b/>
          <w:bCs/>
          <w:i w:val="0"/>
          <w:iCs w:val="0"/>
          <w:color w:val="auto"/>
          <w:szCs w:val="21"/>
        </w:rPr>
        <w:fldChar w:fldCharType="begin"/>
      </w:r>
      <w:r>
        <w:rPr>
          <w:rFonts w:hint="eastAsia" w:asciiTheme="minorEastAsia" w:hAnsiTheme="minorEastAsia" w:eastAsiaTheme="minorEastAsia" w:cstheme="minorEastAsia"/>
          <w:b/>
          <w:bCs/>
          <w:i w:val="0"/>
          <w:iCs w:val="0"/>
          <w:color w:val="auto"/>
          <w:szCs w:val="21"/>
        </w:rPr>
        <w:instrText xml:space="preserve"> HYPERLINK \l _Toc6430 </w:instrText>
      </w:r>
      <w:r>
        <w:rPr>
          <w:rFonts w:hint="eastAsia" w:asciiTheme="minorEastAsia" w:hAnsiTheme="minorEastAsia" w:eastAsiaTheme="minorEastAsia" w:cstheme="minorEastAsia"/>
          <w:b/>
          <w:bCs/>
          <w:i w:val="0"/>
          <w:iCs w:val="0"/>
          <w:color w:val="auto"/>
          <w:szCs w:val="21"/>
        </w:rPr>
        <w:fldChar w:fldCharType="separate"/>
      </w:r>
      <w:r>
        <w:rPr>
          <w:rFonts w:hint="eastAsia" w:asciiTheme="minorEastAsia" w:hAnsiTheme="minorEastAsia" w:eastAsiaTheme="minorEastAsia" w:cstheme="minorEastAsia"/>
          <w:b/>
          <w:bCs/>
          <w:i w:val="0"/>
          <w:iCs w:val="0"/>
          <w:color w:val="auto"/>
          <w:lang w:val="en-US" w:eastAsia="zh-CN"/>
        </w:rPr>
        <w:t>5、项目实施方案（格式自定）</w:t>
      </w:r>
      <w:r>
        <w:rPr>
          <w:rFonts w:hint="eastAsia" w:asciiTheme="minorEastAsia" w:hAnsiTheme="minorEastAsia" w:eastAsiaTheme="minorEastAsia" w:cstheme="minorEastAsia"/>
          <w:b/>
          <w:bCs/>
          <w:i w:val="0"/>
          <w:iCs w:val="0"/>
          <w:color w:val="auto"/>
        </w:rPr>
        <w:tab/>
      </w:r>
      <w:r>
        <w:rPr>
          <w:rFonts w:hint="eastAsia" w:asciiTheme="minorEastAsia" w:hAnsiTheme="minorEastAsia" w:eastAsiaTheme="minorEastAsia" w:cstheme="minorEastAsia"/>
          <w:b/>
          <w:bCs/>
          <w:i w:val="0"/>
          <w:iCs w:val="0"/>
          <w:color w:val="auto"/>
        </w:rPr>
        <w:fldChar w:fldCharType="begin"/>
      </w:r>
      <w:r>
        <w:rPr>
          <w:rFonts w:hint="eastAsia" w:asciiTheme="minorEastAsia" w:hAnsiTheme="minorEastAsia" w:eastAsiaTheme="minorEastAsia" w:cstheme="minorEastAsia"/>
          <w:b/>
          <w:bCs/>
          <w:i w:val="0"/>
          <w:iCs w:val="0"/>
          <w:color w:val="auto"/>
        </w:rPr>
        <w:instrText xml:space="preserve"> PAGEREF _Toc6430 \h </w:instrText>
      </w:r>
      <w:r>
        <w:rPr>
          <w:rFonts w:hint="eastAsia" w:asciiTheme="minorEastAsia" w:hAnsiTheme="minorEastAsia" w:eastAsiaTheme="minorEastAsia" w:cstheme="minorEastAsia"/>
          <w:b/>
          <w:bCs/>
          <w:i w:val="0"/>
          <w:iCs w:val="0"/>
          <w:color w:val="auto"/>
        </w:rPr>
        <w:fldChar w:fldCharType="separate"/>
      </w:r>
      <w:r>
        <w:rPr>
          <w:rFonts w:hint="eastAsia" w:asciiTheme="minorEastAsia" w:hAnsiTheme="minorEastAsia" w:eastAsiaTheme="minorEastAsia" w:cstheme="minorEastAsia"/>
          <w:b/>
          <w:bCs/>
          <w:i w:val="0"/>
          <w:iCs w:val="0"/>
          <w:color w:val="auto"/>
        </w:rPr>
        <w:t>16</w:t>
      </w:r>
      <w:r>
        <w:rPr>
          <w:rFonts w:hint="eastAsia" w:asciiTheme="minorEastAsia" w:hAnsiTheme="minorEastAsia" w:eastAsiaTheme="minorEastAsia" w:cstheme="minorEastAsia"/>
          <w:b/>
          <w:bCs/>
          <w:i w:val="0"/>
          <w:iCs w:val="0"/>
          <w:color w:val="auto"/>
        </w:rPr>
        <w:fldChar w:fldCharType="end"/>
      </w:r>
      <w:r>
        <w:rPr>
          <w:rFonts w:hint="eastAsia" w:asciiTheme="minorEastAsia" w:hAnsiTheme="minorEastAsia" w:eastAsiaTheme="minorEastAsia" w:cstheme="minorEastAsia"/>
          <w:b/>
          <w:bCs/>
          <w:i w:val="0"/>
          <w:iCs w:val="0"/>
          <w:color w:val="auto"/>
          <w:szCs w:val="21"/>
        </w:rPr>
        <w:fldChar w:fldCharType="end"/>
      </w:r>
    </w:p>
    <w:p>
      <w:pPr>
        <w:pStyle w:val="6"/>
        <w:tabs>
          <w:tab w:val="right" w:leader="dot" w:pos="9073"/>
        </w:tabs>
        <w:spacing w:line="440" w:lineRule="exact"/>
        <w:rPr>
          <w:rFonts w:hint="eastAsia" w:asciiTheme="minorEastAsia" w:hAnsiTheme="minorEastAsia" w:eastAsiaTheme="minorEastAsia" w:cstheme="minorEastAsia"/>
          <w:b/>
          <w:bCs/>
          <w:i w:val="0"/>
          <w:iCs w:val="0"/>
          <w:color w:val="auto"/>
        </w:rPr>
      </w:pPr>
      <w:r>
        <w:rPr>
          <w:rFonts w:hint="eastAsia" w:asciiTheme="minorEastAsia" w:hAnsiTheme="minorEastAsia" w:eastAsiaTheme="minorEastAsia" w:cstheme="minorEastAsia"/>
          <w:b/>
          <w:bCs/>
          <w:i w:val="0"/>
          <w:iCs w:val="0"/>
          <w:color w:val="auto"/>
          <w:szCs w:val="21"/>
        </w:rPr>
        <w:fldChar w:fldCharType="begin"/>
      </w:r>
      <w:r>
        <w:rPr>
          <w:rFonts w:hint="eastAsia" w:asciiTheme="minorEastAsia" w:hAnsiTheme="minorEastAsia" w:eastAsiaTheme="minorEastAsia" w:cstheme="minorEastAsia"/>
          <w:b/>
          <w:bCs/>
          <w:i w:val="0"/>
          <w:iCs w:val="0"/>
          <w:color w:val="auto"/>
          <w:szCs w:val="21"/>
        </w:rPr>
        <w:instrText xml:space="preserve"> HYPERLINK \l _Toc22559 </w:instrText>
      </w:r>
      <w:r>
        <w:rPr>
          <w:rFonts w:hint="eastAsia" w:asciiTheme="minorEastAsia" w:hAnsiTheme="minorEastAsia" w:eastAsiaTheme="minorEastAsia" w:cstheme="minorEastAsia"/>
          <w:b/>
          <w:bCs/>
          <w:i w:val="0"/>
          <w:iCs w:val="0"/>
          <w:color w:val="auto"/>
          <w:szCs w:val="21"/>
        </w:rPr>
        <w:fldChar w:fldCharType="separate"/>
      </w:r>
      <w:r>
        <w:rPr>
          <w:rFonts w:hint="eastAsia" w:asciiTheme="minorEastAsia" w:hAnsiTheme="minorEastAsia" w:eastAsiaTheme="minorEastAsia" w:cstheme="minorEastAsia"/>
          <w:b/>
          <w:bCs/>
          <w:i w:val="0"/>
          <w:iCs w:val="0"/>
          <w:color w:val="auto"/>
          <w:lang w:val="en-US" w:eastAsia="zh-CN"/>
        </w:rPr>
        <w:t>6、营业执照复印件</w:t>
      </w:r>
      <w:r>
        <w:rPr>
          <w:rFonts w:hint="eastAsia" w:asciiTheme="minorEastAsia" w:hAnsiTheme="minorEastAsia" w:eastAsiaTheme="minorEastAsia" w:cstheme="minorEastAsia"/>
          <w:b/>
          <w:bCs/>
          <w:i w:val="0"/>
          <w:iCs w:val="0"/>
          <w:color w:val="auto"/>
        </w:rPr>
        <w:tab/>
      </w:r>
      <w:r>
        <w:rPr>
          <w:rFonts w:hint="eastAsia" w:asciiTheme="minorEastAsia" w:hAnsiTheme="minorEastAsia" w:eastAsiaTheme="minorEastAsia" w:cstheme="minorEastAsia"/>
          <w:b/>
          <w:bCs/>
          <w:i w:val="0"/>
          <w:iCs w:val="0"/>
          <w:color w:val="auto"/>
        </w:rPr>
        <w:fldChar w:fldCharType="begin"/>
      </w:r>
      <w:r>
        <w:rPr>
          <w:rFonts w:hint="eastAsia" w:asciiTheme="minorEastAsia" w:hAnsiTheme="minorEastAsia" w:eastAsiaTheme="minorEastAsia" w:cstheme="minorEastAsia"/>
          <w:b/>
          <w:bCs/>
          <w:i w:val="0"/>
          <w:iCs w:val="0"/>
          <w:color w:val="auto"/>
        </w:rPr>
        <w:instrText xml:space="preserve"> PAGEREF _Toc22559 \h </w:instrText>
      </w:r>
      <w:r>
        <w:rPr>
          <w:rFonts w:hint="eastAsia" w:asciiTheme="minorEastAsia" w:hAnsiTheme="minorEastAsia" w:eastAsiaTheme="minorEastAsia" w:cstheme="minorEastAsia"/>
          <w:b/>
          <w:bCs/>
          <w:i w:val="0"/>
          <w:iCs w:val="0"/>
          <w:color w:val="auto"/>
        </w:rPr>
        <w:fldChar w:fldCharType="separate"/>
      </w:r>
      <w:r>
        <w:rPr>
          <w:rFonts w:hint="eastAsia" w:asciiTheme="minorEastAsia" w:hAnsiTheme="minorEastAsia" w:eastAsiaTheme="minorEastAsia" w:cstheme="minorEastAsia"/>
          <w:b/>
          <w:bCs/>
          <w:i w:val="0"/>
          <w:iCs w:val="0"/>
          <w:color w:val="auto"/>
        </w:rPr>
        <w:t>17</w:t>
      </w:r>
      <w:r>
        <w:rPr>
          <w:rFonts w:hint="eastAsia" w:asciiTheme="minorEastAsia" w:hAnsiTheme="minorEastAsia" w:eastAsiaTheme="minorEastAsia" w:cstheme="minorEastAsia"/>
          <w:b/>
          <w:bCs/>
          <w:i w:val="0"/>
          <w:iCs w:val="0"/>
          <w:color w:val="auto"/>
        </w:rPr>
        <w:fldChar w:fldCharType="end"/>
      </w:r>
      <w:r>
        <w:rPr>
          <w:rFonts w:hint="eastAsia" w:asciiTheme="minorEastAsia" w:hAnsiTheme="minorEastAsia" w:eastAsiaTheme="minorEastAsia" w:cstheme="minorEastAsia"/>
          <w:b/>
          <w:bCs/>
          <w:i w:val="0"/>
          <w:iCs w:val="0"/>
          <w:color w:val="auto"/>
          <w:szCs w:val="21"/>
        </w:rPr>
        <w:fldChar w:fldCharType="end"/>
      </w:r>
    </w:p>
    <w:p>
      <w:pPr>
        <w:rPr>
          <w:rFonts w:ascii="仿宋_GB2312" w:eastAsia="仿宋_GB2312"/>
          <w:b/>
          <w:bCs/>
          <w:color w:val="auto"/>
          <w:sz w:val="28"/>
          <w:szCs w:val="28"/>
        </w:rPr>
        <w:sectPr>
          <w:footerReference r:id="rId6" w:type="first"/>
          <w:headerReference r:id="rId3" w:type="default"/>
          <w:footerReference r:id="rId4" w:type="default"/>
          <w:footerReference r:id="rId5" w:type="even"/>
          <w:pgSz w:w="11907" w:h="16840"/>
          <w:pgMar w:top="1797" w:right="1417" w:bottom="1797" w:left="1417" w:header="851" w:footer="992" w:gutter="0"/>
          <w:cols w:space="720" w:num="1"/>
          <w:titlePg/>
          <w:docGrid w:linePitch="462" w:charSpace="0"/>
        </w:sectPr>
      </w:pPr>
      <w:r>
        <w:rPr>
          <w:rFonts w:hint="eastAsia" w:asciiTheme="minorEastAsia" w:hAnsiTheme="minorEastAsia" w:eastAsiaTheme="minorEastAsia" w:cstheme="minorEastAsia"/>
          <w:b/>
          <w:bCs/>
          <w:i w:val="0"/>
          <w:iCs w:val="0"/>
          <w:color w:val="auto"/>
          <w:szCs w:val="21"/>
        </w:rPr>
        <w:fldChar w:fldCharType="end"/>
      </w:r>
    </w:p>
    <w:p>
      <w:pPr>
        <w:pStyle w:val="2"/>
        <w:numPr>
          <w:ilvl w:val="0"/>
          <w:numId w:val="1"/>
        </w:numPr>
        <w:rPr>
          <w:color w:val="auto"/>
          <w:szCs w:val="32"/>
        </w:rPr>
      </w:pPr>
      <w:bookmarkStart w:id="2" w:name="_Toc518649754"/>
      <w:bookmarkStart w:id="3" w:name="_Toc14417"/>
      <w:r>
        <w:rPr>
          <w:rFonts w:hint="eastAsia"/>
          <w:color w:val="auto"/>
          <w:szCs w:val="32"/>
          <w:lang w:val="en-US" w:eastAsia="zh-CN"/>
        </w:rPr>
        <w:t>项目</w:t>
      </w:r>
      <w:r>
        <w:rPr>
          <w:rFonts w:hint="eastAsia"/>
          <w:color w:val="auto"/>
          <w:szCs w:val="32"/>
        </w:rPr>
        <w:t>须知</w:t>
      </w:r>
      <w:bookmarkEnd w:id="2"/>
      <w:bookmarkEnd w:id="3"/>
    </w:p>
    <w:p>
      <w:pPr>
        <w:rPr>
          <w:color w:val="auto"/>
        </w:rPr>
      </w:pPr>
    </w:p>
    <w:tbl>
      <w:tblPr>
        <w:tblStyle w:val="13"/>
        <w:tblW w:w="8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trPr>
        <w:tc>
          <w:tcPr>
            <w:tcW w:w="709" w:type="dxa"/>
            <w:vAlign w:val="center"/>
          </w:tcPr>
          <w:p>
            <w:pPr>
              <w:pStyle w:val="7"/>
              <w:spacing w:line="20" w:lineRule="atLeast"/>
              <w:jc w:val="center"/>
              <w:rPr>
                <w:rFonts w:ascii="黑体" w:hAnsi="黑体" w:eastAsia="黑体" w:cs="Courier New"/>
                <w:color w:val="auto"/>
                <w:sz w:val="24"/>
                <w:szCs w:val="24"/>
              </w:rPr>
            </w:pPr>
            <w:r>
              <w:rPr>
                <w:rFonts w:hint="eastAsia" w:ascii="黑体" w:hAnsi="黑体" w:eastAsia="黑体" w:cs="Courier New"/>
                <w:color w:val="auto"/>
                <w:sz w:val="24"/>
                <w:szCs w:val="24"/>
              </w:rPr>
              <w:t>序号</w:t>
            </w:r>
          </w:p>
        </w:tc>
        <w:tc>
          <w:tcPr>
            <w:tcW w:w="1843" w:type="dxa"/>
            <w:vAlign w:val="center"/>
          </w:tcPr>
          <w:p>
            <w:pPr>
              <w:pStyle w:val="7"/>
              <w:spacing w:line="20" w:lineRule="atLeast"/>
              <w:jc w:val="center"/>
              <w:rPr>
                <w:rFonts w:ascii="黑体" w:hAnsi="黑体" w:eastAsia="黑体" w:cs="Courier New"/>
                <w:color w:val="auto"/>
                <w:sz w:val="24"/>
                <w:szCs w:val="24"/>
              </w:rPr>
            </w:pPr>
            <w:r>
              <w:rPr>
                <w:rFonts w:hint="eastAsia" w:ascii="黑体" w:hAnsi="黑体" w:eastAsia="黑体" w:cs="Courier New"/>
                <w:color w:val="auto"/>
                <w:sz w:val="24"/>
                <w:szCs w:val="24"/>
              </w:rPr>
              <w:t>事项</w:t>
            </w:r>
          </w:p>
        </w:tc>
        <w:tc>
          <w:tcPr>
            <w:tcW w:w="5822" w:type="dxa"/>
            <w:vAlign w:val="center"/>
          </w:tcPr>
          <w:p>
            <w:pPr>
              <w:pStyle w:val="7"/>
              <w:spacing w:line="20" w:lineRule="atLeast"/>
              <w:jc w:val="center"/>
              <w:rPr>
                <w:rFonts w:ascii="黑体" w:hAnsi="黑体" w:eastAsia="黑体" w:cs="Courier New"/>
                <w:color w:val="auto"/>
                <w:sz w:val="24"/>
                <w:szCs w:val="24"/>
              </w:rPr>
            </w:pPr>
            <w:r>
              <w:rPr>
                <w:rFonts w:hint="eastAsia" w:ascii="黑体" w:hAnsi="黑体" w:eastAsia="黑体" w:cs="Courier New"/>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1</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项目编号</w:t>
            </w:r>
          </w:p>
        </w:tc>
        <w:tc>
          <w:tcPr>
            <w:tcW w:w="5822" w:type="dxa"/>
            <w:vAlign w:val="center"/>
          </w:tcPr>
          <w:p>
            <w:pPr>
              <w:pStyle w:val="7"/>
              <w:spacing w:line="0" w:lineRule="atLeast"/>
              <w:rPr>
                <w:rFonts w:hint="default" w:hAnsi="宋体" w:cs="Courier New" w:eastAsiaTheme="minorEastAsia"/>
                <w:color w:val="auto"/>
                <w:sz w:val="24"/>
                <w:szCs w:val="24"/>
                <w:lang w:val="en-US" w:eastAsia="zh-CN"/>
              </w:rPr>
            </w:pPr>
            <w:r>
              <w:rPr>
                <w:rFonts w:hint="eastAsia" w:ascii="宋体" w:hAnsi="宋体" w:cs="Courier New" w:eastAsiaTheme="minorEastAsia"/>
                <w:color w:val="auto"/>
                <w:sz w:val="24"/>
                <w:szCs w:val="24"/>
                <w:highlight w:val="none"/>
                <w:lang w:val="en-US" w:eastAsia="zh-CN"/>
              </w:rPr>
              <w:t>NSRZJ0003</w:t>
            </w:r>
            <w:r>
              <w:rPr>
                <w:rFonts w:hint="eastAsia" w:hAnsi="宋体" w:cs="Courier New"/>
                <w:color w:val="auto"/>
                <w:sz w:val="24"/>
                <w:szCs w:val="24"/>
                <w:lang w:val="en-US" w:eastAsia="zh-C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2</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项目名称</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深圳市南山区机关事业单位2023年第二季度公开招聘编外人员技术性辅助性服务项目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3</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招标类型</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4</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资金来源</w:t>
            </w:r>
          </w:p>
        </w:tc>
        <w:tc>
          <w:tcPr>
            <w:tcW w:w="5822" w:type="dxa"/>
            <w:vAlign w:val="center"/>
          </w:tcPr>
          <w:p>
            <w:pPr>
              <w:pStyle w:val="7"/>
              <w:spacing w:line="0" w:lineRule="atLeast"/>
              <w:rPr>
                <w:rFonts w:hint="eastAsia" w:cs="Courier New" w:eastAsiaTheme="minorEastAsia"/>
                <w:bCs/>
                <w:color w:val="auto"/>
                <w:sz w:val="24"/>
                <w:szCs w:val="24"/>
                <w:highlight w:val="none"/>
                <w:lang w:val="en-US" w:eastAsia="zh-CN"/>
              </w:rPr>
            </w:pPr>
            <w:r>
              <w:rPr>
                <w:rFonts w:hint="eastAsia" w:cs="Courier New"/>
                <w:bCs/>
                <w:color w:val="auto"/>
                <w:sz w:val="24"/>
                <w:szCs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5</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招标控制价</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kern w:val="10"/>
                <w:sz w:val="24"/>
                <w:szCs w:val="24"/>
                <w:highlight w:val="none"/>
                <w:u w:val="none"/>
                <w:lang w:val="en-US" w:eastAsia="zh-CN"/>
              </w:rPr>
              <w:t>699190</w:t>
            </w:r>
            <w:r>
              <w:rPr>
                <w:rFonts w:hint="eastAsia" w:hAnsi="宋体" w:cs="Courier New"/>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6</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付款方式</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7</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承包方式</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09"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8</w:t>
            </w:r>
          </w:p>
        </w:tc>
        <w:tc>
          <w:tcPr>
            <w:tcW w:w="1843" w:type="dxa"/>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服务质量要求</w:t>
            </w:r>
          </w:p>
        </w:tc>
        <w:tc>
          <w:tcPr>
            <w:tcW w:w="5822" w:type="dxa"/>
            <w:vAlign w:val="center"/>
          </w:tcPr>
          <w:p>
            <w:pPr>
              <w:pStyle w:val="7"/>
              <w:spacing w:line="0" w:lineRule="atLeast"/>
              <w:rPr>
                <w:rFonts w:hint="eastAsia" w:hAnsi="宋体" w:cs="Courier New" w:eastAsiaTheme="minorEastAsia"/>
                <w:color w:val="auto"/>
                <w:sz w:val="24"/>
                <w:szCs w:val="24"/>
                <w:lang w:eastAsia="zh-CN"/>
              </w:rPr>
            </w:pPr>
            <w:r>
              <w:rPr>
                <w:rFonts w:hint="eastAsia" w:hAnsi="宋体" w:cs="Courier New"/>
                <w:color w:val="auto"/>
                <w:sz w:val="24"/>
                <w:szCs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tcBorders>
              <w:bottom w:val="single" w:color="auto" w:sz="4" w:space="0"/>
            </w:tcBorders>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9</w:t>
            </w:r>
          </w:p>
        </w:tc>
        <w:tc>
          <w:tcPr>
            <w:tcW w:w="1843" w:type="dxa"/>
            <w:tcBorders>
              <w:bottom w:val="single" w:color="auto" w:sz="4" w:space="0"/>
            </w:tcBorders>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开标时间</w:t>
            </w:r>
          </w:p>
        </w:tc>
        <w:tc>
          <w:tcPr>
            <w:tcW w:w="5822" w:type="dxa"/>
            <w:tcBorders>
              <w:bottom w:val="single" w:color="auto" w:sz="4" w:space="0"/>
            </w:tcBorders>
            <w:vAlign w:val="center"/>
          </w:tcPr>
          <w:p>
            <w:pPr>
              <w:pStyle w:val="7"/>
              <w:spacing w:line="360" w:lineRule="auto"/>
              <w:rPr>
                <w:rFonts w:hAnsi="宋体" w:cs="Courier New"/>
                <w:color w:val="auto"/>
                <w:sz w:val="24"/>
                <w:szCs w:val="24"/>
                <w:highlight w:val="none"/>
              </w:rPr>
            </w:pPr>
            <w:r>
              <w:rPr>
                <w:rFonts w:hint="eastAsia" w:hAnsi="宋体" w:cs="Courier New"/>
                <w:color w:val="auto"/>
                <w:sz w:val="24"/>
                <w:szCs w:val="24"/>
                <w:highlight w:val="none"/>
              </w:rPr>
              <w:t>20</w:t>
            </w:r>
            <w:r>
              <w:rPr>
                <w:rFonts w:hAnsi="宋体" w:cs="Courier New"/>
                <w:color w:val="auto"/>
                <w:sz w:val="24"/>
                <w:szCs w:val="24"/>
                <w:highlight w:val="none"/>
              </w:rPr>
              <w:t>2</w:t>
            </w:r>
            <w:r>
              <w:rPr>
                <w:rFonts w:hint="eastAsia" w:hAnsi="宋体" w:cs="Courier New"/>
                <w:color w:val="auto"/>
                <w:sz w:val="24"/>
                <w:szCs w:val="24"/>
                <w:highlight w:val="none"/>
                <w:lang w:val="en-US" w:eastAsia="zh-CN"/>
              </w:rPr>
              <w:t>3</w:t>
            </w:r>
            <w:r>
              <w:rPr>
                <w:rFonts w:hint="eastAsia" w:hAnsi="宋体" w:cs="Courier New"/>
                <w:color w:val="auto"/>
                <w:sz w:val="24"/>
                <w:szCs w:val="24"/>
                <w:highlight w:val="none"/>
              </w:rPr>
              <w:t>年</w:t>
            </w:r>
            <w:r>
              <w:rPr>
                <w:rFonts w:hint="eastAsia" w:hAnsi="宋体" w:cs="Courier New"/>
                <w:color w:val="auto"/>
                <w:sz w:val="24"/>
                <w:szCs w:val="24"/>
                <w:highlight w:val="none"/>
                <w:lang w:val="en-US" w:eastAsia="zh-CN"/>
              </w:rPr>
              <w:t>3</w:t>
            </w:r>
            <w:r>
              <w:rPr>
                <w:rFonts w:hint="eastAsia" w:hAnsi="宋体" w:cs="Courier New"/>
                <w:color w:val="auto"/>
                <w:sz w:val="24"/>
                <w:szCs w:val="24"/>
                <w:highlight w:val="none"/>
              </w:rPr>
              <w:t>月</w:t>
            </w:r>
            <w:r>
              <w:rPr>
                <w:rFonts w:hint="eastAsia" w:hAnsi="宋体" w:cs="Courier New"/>
                <w:color w:val="auto"/>
                <w:sz w:val="24"/>
                <w:szCs w:val="24"/>
                <w:highlight w:val="none"/>
                <w:lang w:val="en-US" w:eastAsia="zh-CN"/>
              </w:rPr>
              <w:t>23</w:t>
            </w:r>
            <w:r>
              <w:rPr>
                <w:rFonts w:hint="eastAsia" w:hAnsi="宋体" w:cs="Courier New"/>
                <w:color w:val="auto"/>
                <w:sz w:val="24"/>
                <w:szCs w:val="24"/>
                <w:highlight w:val="none"/>
              </w:rPr>
              <w:t>日</w:t>
            </w:r>
            <w:r>
              <w:rPr>
                <w:rFonts w:hint="eastAsia" w:hAnsi="宋体" w:cs="Courier New"/>
                <w:color w:val="auto"/>
                <w:sz w:val="24"/>
                <w:szCs w:val="24"/>
                <w:highlight w:val="none"/>
                <w:lang w:eastAsia="zh-CN"/>
              </w:rPr>
              <w:t>下</w:t>
            </w:r>
            <w:r>
              <w:rPr>
                <w:rFonts w:hint="eastAsia" w:hAnsi="宋体" w:cs="Courier New"/>
                <w:color w:val="auto"/>
                <w:sz w:val="24"/>
                <w:szCs w:val="24"/>
                <w:highlight w:val="none"/>
                <w:lang w:val="en-US" w:eastAsia="zh-CN"/>
              </w:rPr>
              <w:t>午15</w:t>
            </w:r>
            <w:r>
              <w:rPr>
                <w:rFonts w:hint="eastAsia" w:hAnsi="宋体" w:cs="Courier New"/>
                <w:color w:val="auto"/>
                <w:sz w:val="24"/>
                <w:szCs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tcBorders>
              <w:bottom w:val="single" w:color="auto" w:sz="4" w:space="0"/>
            </w:tcBorders>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10</w:t>
            </w:r>
          </w:p>
        </w:tc>
        <w:tc>
          <w:tcPr>
            <w:tcW w:w="1843" w:type="dxa"/>
            <w:tcBorders>
              <w:bottom w:val="single" w:color="auto" w:sz="4" w:space="0"/>
            </w:tcBorders>
            <w:vAlign w:val="center"/>
          </w:tcPr>
          <w:p>
            <w:pPr>
              <w:pStyle w:val="7"/>
              <w:spacing w:line="0" w:lineRule="atLeast"/>
              <w:jc w:val="center"/>
              <w:rPr>
                <w:rFonts w:hAnsi="宋体" w:cs="Courier New"/>
                <w:color w:val="auto"/>
                <w:sz w:val="24"/>
                <w:szCs w:val="24"/>
              </w:rPr>
            </w:pPr>
            <w:r>
              <w:rPr>
                <w:rFonts w:hint="eastAsia" w:hAnsi="宋体" w:cs="Courier New"/>
                <w:color w:val="auto"/>
                <w:sz w:val="24"/>
                <w:szCs w:val="24"/>
              </w:rPr>
              <w:t>开标地点</w:t>
            </w:r>
          </w:p>
        </w:tc>
        <w:tc>
          <w:tcPr>
            <w:tcW w:w="5822" w:type="dxa"/>
            <w:tcBorders>
              <w:bottom w:val="single" w:color="auto" w:sz="4" w:space="0"/>
            </w:tcBorders>
            <w:vAlign w:val="center"/>
          </w:tcPr>
          <w:p>
            <w:pPr>
              <w:pStyle w:val="7"/>
              <w:spacing w:line="360" w:lineRule="auto"/>
              <w:rPr>
                <w:rFonts w:hAnsi="宋体" w:cs="Courier New"/>
                <w:color w:val="auto"/>
                <w:sz w:val="24"/>
                <w:szCs w:val="24"/>
              </w:rPr>
            </w:pPr>
            <w:r>
              <w:rPr>
                <w:rFonts w:hint="eastAsia" w:hAnsi="宋体" w:cs="Courier New"/>
                <w:color w:val="auto"/>
                <w:sz w:val="24"/>
                <w:szCs w:val="24"/>
              </w:rPr>
              <w:t>南山劳动大厦</w:t>
            </w:r>
            <w:r>
              <w:rPr>
                <w:rFonts w:hint="eastAsia" w:hAnsi="宋体" w:cs="Courier New"/>
                <w:color w:val="auto"/>
                <w:sz w:val="24"/>
                <w:szCs w:val="24"/>
                <w:lang w:val="en-US" w:eastAsia="zh-CN"/>
              </w:rPr>
              <w:t>3</w:t>
            </w:r>
            <w:r>
              <w:rPr>
                <w:rFonts w:hint="eastAsia" w:hAnsi="宋体" w:cs="Courier New"/>
                <w:color w:val="auto"/>
                <w:sz w:val="24"/>
                <w:szCs w:val="24"/>
              </w:rPr>
              <w:t>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11</w:t>
            </w:r>
          </w:p>
        </w:tc>
        <w:tc>
          <w:tcPr>
            <w:tcW w:w="1843"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投标文件份数及封装要求</w:t>
            </w:r>
          </w:p>
        </w:tc>
        <w:tc>
          <w:tcPr>
            <w:tcW w:w="5822" w:type="dxa"/>
            <w:vAlign w:val="center"/>
          </w:tcPr>
          <w:p>
            <w:pPr>
              <w:pStyle w:val="7"/>
              <w:contextualSpacing/>
              <w:jc w:val="left"/>
              <w:rPr>
                <w:rFonts w:hAnsi="宋体" w:cs="Courier New"/>
                <w:color w:val="auto"/>
                <w:kern w:val="10"/>
                <w:sz w:val="24"/>
                <w:szCs w:val="24"/>
              </w:rPr>
            </w:pPr>
            <w:r>
              <w:rPr>
                <w:rFonts w:hint="eastAsia" w:hAnsi="宋体" w:cs="Courier New"/>
                <w:color w:val="auto"/>
                <w:kern w:val="10"/>
                <w:sz w:val="24"/>
                <w:szCs w:val="24"/>
              </w:rPr>
              <w:t>一式5份,封面均须加盖投标人法人公章并加盖骑缝法人公章；以封套封装，封口处贴封条并加盖投标人法人公章，并经法定代表人或其授权代表签名或盖章。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12</w:t>
            </w:r>
          </w:p>
        </w:tc>
        <w:tc>
          <w:tcPr>
            <w:tcW w:w="1843"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封套字样</w:t>
            </w:r>
          </w:p>
        </w:tc>
        <w:tc>
          <w:tcPr>
            <w:tcW w:w="5822" w:type="dxa"/>
            <w:vAlign w:val="center"/>
          </w:tcPr>
          <w:p>
            <w:pPr>
              <w:pStyle w:val="7"/>
              <w:contextualSpacing/>
              <w:jc w:val="left"/>
              <w:rPr>
                <w:rFonts w:hAnsi="宋体" w:cs="Courier New"/>
                <w:color w:val="auto"/>
                <w:kern w:val="10"/>
                <w:sz w:val="24"/>
                <w:szCs w:val="24"/>
                <w:highlight w:val="none"/>
              </w:rPr>
            </w:pPr>
            <w:r>
              <w:rPr>
                <w:rFonts w:hint="eastAsia" w:hAnsi="宋体" w:cs="Courier New"/>
                <w:color w:val="auto"/>
                <w:kern w:val="10"/>
                <w:sz w:val="24"/>
                <w:szCs w:val="24"/>
                <w:highlight w:val="none"/>
              </w:rPr>
              <w:t>收件人：深圳市南山区人力资源局</w:t>
            </w:r>
          </w:p>
          <w:p>
            <w:pPr>
              <w:pStyle w:val="7"/>
              <w:contextualSpacing/>
              <w:jc w:val="left"/>
              <w:rPr>
                <w:rFonts w:hint="eastAsia" w:hAnsi="宋体" w:cs="Courier New"/>
                <w:color w:val="auto"/>
                <w:sz w:val="24"/>
                <w:szCs w:val="24"/>
                <w:highlight w:val="none"/>
              </w:rPr>
            </w:pPr>
            <w:r>
              <w:rPr>
                <w:rFonts w:hint="eastAsia" w:hAnsi="宋体" w:cs="Courier New"/>
                <w:color w:val="auto"/>
                <w:sz w:val="24"/>
                <w:szCs w:val="24"/>
                <w:highlight w:val="none"/>
              </w:rPr>
              <w:t>深圳市南山区机关事业单位2023年第二季度公开招聘编外人员技术性辅助性服务项目</w:t>
            </w:r>
          </w:p>
          <w:p>
            <w:pPr>
              <w:pStyle w:val="7"/>
              <w:contextualSpacing/>
              <w:jc w:val="left"/>
              <w:rPr>
                <w:rFonts w:hAnsi="宋体" w:cs="Courier New"/>
                <w:color w:val="auto"/>
                <w:kern w:val="10"/>
                <w:sz w:val="24"/>
                <w:szCs w:val="24"/>
                <w:highlight w:val="none"/>
              </w:rPr>
            </w:pPr>
            <w:r>
              <w:rPr>
                <w:rFonts w:hint="eastAsia" w:hAnsi="宋体" w:cs="Courier New"/>
                <w:color w:val="auto"/>
                <w:kern w:val="10"/>
                <w:sz w:val="24"/>
                <w:szCs w:val="24"/>
                <w:highlight w:val="none"/>
              </w:rPr>
              <w:t>投标文件北京时间</w:t>
            </w:r>
            <w:r>
              <w:rPr>
                <w:rFonts w:hint="eastAsia" w:hAnsi="宋体" w:cs="Courier New"/>
                <w:color w:val="auto"/>
                <w:sz w:val="24"/>
                <w:szCs w:val="24"/>
                <w:highlight w:val="none"/>
              </w:rPr>
              <w:t>20</w:t>
            </w:r>
            <w:r>
              <w:rPr>
                <w:rFonts w:hAnsi="宋体" w:cs="Courier New"/>
                <w:color w:val="auto"/>
                <w:sz w:val="24"/>
                <w:szCs w:val="24"/>
                <w:highlight w:val="none"/>
              </w:rPr>
              <w:t>2</w:t>
            </w:r>
            <w:r>
              <w:rPr>
                <w:rFonts w:hint="eastAsia" w:hAnsi="宋体" w:cs="Courier New"/>
                <w:color w:val="auto"/>
                <w:sz w:val="24"/>
                <w:szCs w:val="24"/>
                <w:highlight w:val="none"/>
                <w:lang w:val="en-US" w:eastAsia="zh-CN"/>
              </w:rPr>
              <w:t>3</w:t>
            </w:r>
            <w:r>
              <w:rPr>
                <w:rFonts w:hint="eastAsia" w:hAnsi="宋体" w:cs="Courier New"/>
                <w:color w:val="auto"/>
                <w:sz w:val="24"/>
                <w:szCs w:val="24"/>
                <w:highlight w:val="none"/>
              </w:rPr>
              <w:t>年</w:t>
            </w:r>
            <w:r>
              <w:rPr>
                <w:rFonts w:hint="eastAsia" w:hAnsi="宋体" w:cs="Courier New"/>
                <w:color w:val="auto"/>
                <w:sz w:val="24"/>
                <w:szCs w:val="24"/>
                <w:highlight w:val="none"/>
                <w:lang w:val="en-US" w:eastAsia="zh-CN"/>
              </w:rPr>
              <w:t>3</w:t>
            </w:r>
            <w:r>
              <w:rPr>
                <w:rFonts w:hint="eastAsia" w:hAnsi="宋体" w:cs="Courier New"/>
                <w:color w:val="auto"/>
                <w:sz w:val="24"/>
                <w:szCs w:val="24"/>
                <w:highlight w:val="none"/>
              </w:rPr>
              <w:t>月</w:t>
            </w:r>
            <w:r>
              <w:rPr>
                <w:rFonts w:hint="eastAsia" w:hAnsi="宋体" w:cs="Courier New"/>
                <w:color w:val="auto"/>
                <w:sz w:val="24"/>
                <w:szCs w:val="24"/>
                <w:highlight w:val="none"/>
                <w:lang w:val="en-US" w:eastAsia="zh-CN"/>
              </w:rPr>
              <w:t>23</w:t>
            </w:r>
            <w:r>
              <w:rPr>
                <w:rFonts w:hint="eastAsia" w:hAnsi="宋体" w:cs="Courier New"/>
                <w:color w:val="auto"/>
                <w:sz w:val="24"/>
                <w:szCs w:val="24"/>
                <w:highlight w:val="none"/>
              </w:rPr>
              <w:t>日</w:t>
            </w:r>
            <w:r>
              <w:rPr>
                <w:rFonts w:hint="eastAsia" w:hAnsi="宋体" w:cs="Courier New"/>
                <w:color w:val="auto"/>
                <w:sz w:val="24"/>
                <w:szCs w:val="24"/>
                <w:highlight w:val="none"/>
                <w:lang w:eastAsia="zh-CN"/>
              </w:rPr>
              <w:t>下</w:t>
            </w:r>
            <w:r>
              <w:rPr>
                <w:rFonts w:hint="eastAsia" w:hAnsi="宋体" w:cs="Courier New"/>
                <w:color w:val="auto"/>
                <w:sz w:val="24"/>
                <w:szCs w:val="24"/>
                <w:highlight w:val="none"/>
                <w:lang w:val="en-US" w:eastAsia="zh-CN"/>
              </w:rPr>
              <w:t>午15</w:t>
            </w:r>
            <w:r>
              <w:rPr>
                <w:rFonts w:hint="eastAsia" w:hAnsi="宋体" w:cs="Courier New"/>
                <w:color w:val="auto"/>
                <w:sz w:val="24"/>
                <w:szCs w:val="24"/>
                <w:highlight w:val="none"/>
              </w:rPr>
              <w:t>时</w:t>
            </w:r>
            <w:r>
              <w:rPr>
                <w:rFonts w:hint="eastAsia" w:hAnsi="宋体" w:cs="Courier New"/>
                <w:color w:val="auto"/>
                <w:kern w:val="10"/>
                <w:sz w:val="24"/>
                <w:szCs w:val="24"/>
                <w:highlight w:val="none"/>
              </w:rPr>
              <w:t>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13</w:t>
            </w:r>
          </w:p>
        </w:tc>
        <w:tc>
          <w:tcPr>
            <w:tcW w:w="1843"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评标方法</w:t>
            </w:r>
          </w:p>
        </w:tc>
        <w:tc>
          <w:tcPr>
            <w:tcW w:w="5822" w:type="dxa"/>
            <w:vAlign w:val="center"/>
          </w:tcPr>
          <w:p>
            <w:pPr>
              <w:pStyle w:val="7"/>
              <w:spacing w:line="360" w:lineRule="auto"/>
              <w:jc w:val="left"/>
              <w:rPr>
                <w:rFonts w:hAnsi="宋体" w:cs="Courier New"/>
                <w:color w:val="auto"/>
                <w:sz w:val="24"/>
                <w:szCs w:val="24"/>
                <w:highlight w:val="none"/>
              </w:rPr>
            </w:pPr>
            <w:r>
              <w:rPr>
                <w:rFonts w:hint="eastAsia" w:hAnsi="宋体" w:cs="Courier New"/>
                <w:color w:val="auto"/>
                <w:sz w:val="24"/>
                <w:szCs w:val="24"/>
                <w:highlight w:val="none"/>
              </w:rPr>
              <w:t>综合评分法（排名前三的投标商为候选供应商）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9"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14</w:t>
            </w:r>
          </w:p>
        </w:tc>
        <w:tc>
          <w:tcPr>
            <w:tcW w:w="1843" w:type="dxa"/>
            <w:vAlign w:val="center"/>
          </w:tcPr>
          <w:p>
            <w:pPr>
              <w:snapToGrid w:val="0"/>
              <w:spacing w:line="360" w:lineRule="auto"/>
              <w:jc w:val="center"/>
              <w:rPr>
                <w:rFonts w:ascii="宋体" w:hAnsi="宋体" w:cs="Courier New"/>
                <w:color w:val="auto"/>
                <w:sz w:val="24"/>
              </w:rPr>
            </w:pPr>
            <w:r>
              <w:rPr>
                <w:rFonts w:hint="eastAsia" w:ascii="宋体" w:hAnsi="宋体" w:cs="Courier New"/>
                <w:color w:val="auto"/>
                <w:sz w:val="24"/>
              </w:rPr>
              <w:t>定标方法</w:t>
            </w:r>
          </w:p>
        </w:tc>
        <w:tc>
          <w:tcPr>
            <w:tcW w:w="5822" w:type="dxa"/>
            <w:vAlign w:val="center"/>
          </w:tcPr>
          <w:p>
            <w:pPr>
              <w:snapToGrid w:val="0"/>
              <w:spacing w:line="360" w:lineRule="auto"/>
              <w:jc w:val="left"/>
              <w:rPr>
                <w:rFonts w:ascii="宋体" w:hAnsi="宋体" w:cs="Courier New"/>
                <w:color w:val="auto"/>
                <w:sz w:val="24"/>
                <w:highlight w:val="none"/>
              </w:rPr>
            </w:pPr>
            <w:r>
              <w:rPr>
                <w:rFonts w:hint="eastAsia" w:ascii="宋体" w:hAnsi="宋体" w:cs="Courier New"/>
                <w:color w:val="auto"/>
                <w:sz w:val="24"/>
                <w:highlight w:val="none"/>
              </w:rPr>
              <w:t>自定法（累积投票法）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9" w:type="dxa"/>
            <w:vAlign w:val="center"/>
          </w:tcPr>
          <w:p>
            <w:pPr>
              <w:pStyle w:val="7"/>
              <w:spacing w:line="300" w:lineRule="auto"/>
              <w:jc w:val="center"/>
              <w:rPr>
                <w:rFonts w:hAnsi="宋体" w:cs="Courier New"/>
                <w:color w:val="auto"/>
                <w:sz w:val="24"/>
                <w:szCs w:val="24"/>
              </w:rPr>
            </w:pPr>
            <w:r>
              <w:rPr>
                <w:rFonts w:hint="eastAsia" w:hAnsi="宋体" w:cs="Courier New"/>
                <w:color w:val="auto"/>
                <w:sz w:val="24"/>
                <w:szCs w:val="24"/>
              </w:rPr>
              <w:t>15</w:t>
            </w:r>
          </w:p>
        </w:tc>
        <w:tc>
          <w:tcPr>
            <w:tcW w:w="1843" w:type="dxa"/>
            <w:vAlign w:val="center"/>
          </w:tcPr>
          <w:p>
            <w:pPr>
              <w:snapToGrid w:val="0"/>
              <w:spacing w:line="360" w:lineRule="auto"/>
              <w:jc w:val="center"/>
              <w:rPr>
                <w:rFonts w:ascii="宋体" w:hAnsi="宋体" w:cs="Courier New"/>
                <w:color w:val="auto"/>
                <w:sz w:val="24"/>
              </w:rPr>
            </w:pPr>
            <w:r>
              <w:rPr>
                <w:rFonts w:hint="eastAsia" w:ascii="宋体" w:hAnsi="宋体" w:cs="Courier New"/>
                <w:color w:val="auto"/>
                <w:sz w:val="24"/>
              </w:rPr>
              <w:t>中标公示</w:t>
            </w:r>
          </w:p>
        </w:tc>
        <w:tc>
          <w:tcPr>
            <w:tcW w:w="5822" w:type="dxa"/>
            <w:vAlign w:val="center"/>
          </w:tcPr>
          <w:p>
            <w:pPr>
              <w:snapToGrid w:val="0"/>
              <w:spacing w:line="360" w:lineRule="auto"/>
              <w:jc w:val="left"/>
              <w:rPr>
                <w:rFonts w:ascii="宋体" w:hAnsi="宋体" w:cs="Courier New"/>
                <w:color w:val="auto"/>
                <w:sz w:val="24"/>
              </w:rPr>
            </w:pPr>
            <w:r>
              <w:rPr>
                <w:rFonts w:hint="eastAsia" w:ascii="宋体" w:hAnsi="宋体" w:cs="Courier New"/>
                <w:color w:val="auto"/>
                <w:sz w:val="24"/>
              </w:rPr>
              <w:t>开标后10个工作日内在南山区人力资源局网站公示</w:t>
            </w:r>
          </w:p>
        </w:tc>
      </w:tr>
    </w:tbl>
    <w:p>
      <w:pPr>
        <w:rPr>
          <w:color w:val="auto"/>
        </w:rPr>
      </w:pPr>
    </w:p>
    <w:p>
      <w:pPr>
        <w:rPr>
          <w:color w:val="auto"/>
        </w:rPr>
      </w:pPr>
    </w:p>
    <w:p>
      <w:pPr>
        <w:pStyle w:val="2"/>
        <w:numPr>
          <w:ilvl w:val="0"/>
          <w:numId w:val="1"/>
        </w:numPr>
        <w:rPr>
          <w:rFonts w:hint="eastAsia"/>
          <w:color w:val="auto"/>
          <w:szCs w:val="32"/>
          <w:lang w:val="en-US" w:eastAsia="zh-CN"/>
        </w:rPr>
      </w:pPr>
      <w:bookmarkStart w:id="4" w:name="_Toc28349"/>
      <w:r>
        <w:rPr>
          <w:rFonts w:hint="eastAsia"/>
          <w:color w:val="auto"/>
          <w:szCs w:val="32"/>
          <w:lang w:val="en-US" w:eastAsia="zh-CN"/>
        </w:rPr>
        <w:t>项目需求</w:t>
      </w:r>
      <w:bookmarkEnd w:id="4"/>
    </w:p>
    <w:p>
      <w:pPr>
        <w:numPr>
          <w:ilvl w:val="0"/>
          <w:numId w:val="0"/>
        </w:numPr>
        <w:ind w:leftChars="0"/>
        <w:rPr>
          <w:rFonts w:hint="default"/>
          <w:color w:val="auto"/>
          <w:lang w:val="en-US" w:eastAsia="zh-CN"/>
        </w:rPr>
      </w:pP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rPr>
      </w:pPr>
      <w:bookmarkStart w:id="5" w:name="_Toc2578"/>
      <w:r>
        <w:rPr>
          <w:rFonts w:hint="eastAsia" w:ascii="宋体" w:hAnsi="宋体" w:eastAsia="宋体" w:cs="宋体"/>
          <w:b/>
          <w:bCs w:val="0"/>
          <w:color w:val="auto"/>
          <w:sz w:val="24"/>
          <w:szCs w:val="24"/>
          <w:highlight w:val="none"/>
        </w:rPr>
        <w:t>（一）项目概况</w:t>
      </w:r>
      <w:bookmarkEnd w:id="5"/>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color w:val="auto"/>
          <w:sz w:val="24"/>
          <w:szCs w:val="24"/>
        </w:rPr>
        <w:t>根据《深圳市南山区编外人员公开招聘办法（试行）》等相关规定，</w:t>
      </w:r>
      <w:r>
        <w:rPr>
          <w:rFonts w:hint="eastAsia" w:ascii="宋体" w:hAnsi="宋体" w:cs="宋体"/>
          <w:color w:val="auto"/>
          <w:sz w:val="24"/>
          <w:szCs w:val="24"/>
          <w:lang w:eastAsia="zh-CN"/>
        </w:rPr>
        <w:t>南山区人力资源局</w:t>
      </w:r>
      <w:r>
        <w:rPr>
          <w:rFonts w:hint="eastAsia" w:ascii="宋体" w:hAnsi="宋体" w:eastAsia="宋体" w:cs="宋体"/>
          <w:color w:val="auto"/>
          <w:sz w:val="24"/>
          <w:szCs w:val="24"/>
        </w:rPr>
        <w:t>统一</w:t>
      </w:r>
      <w:r>
        <w:rPr>
          <w:rFonts w:hint="eastAsia" w:ascii="宋体" w:hAnsi="宋体" w:eastAsia="宋体" w:cs="宋体"/>
          <w:color w:val="auto"/>
          <w:sz w:val="24"/>
          <w:szCs w:val="24"/>
          <w:lang w:eastAsia="zh-CN"/>
        </w:rPr>
        <w:t>组织机关事业单位2023年第二季度</w:t>
      </w:r>
      <w:r>
        <w:rPr>
          <w:rFonts w:hint="eastAsia" w:ascii="宋体" w:hAnsi="宋体" w:eastAsia="宋体" w:cs="宋体"/>
          <w:color w:val="auto"/>
          <w:sz w:val="24"/>
          <w:szCs w:val="24"/>
        </w:rPr>
        <w:t>公开招聘编外人员</w:t>
      </w:r>
      <w:r>
        <w:rPr>
          <w:rFonts w:hint="eastAsia" w:ascii="宋体" w:hAnsi="宋体" w:cs="宋体"/>
          <w:color w:val="auto"/>
          <w:sz w:val="24"/>
          <w:szCs w:val="24"/>
          <w:lang w:eastAsia="zh-CN"/>
        </w:rPr>
        <w:t>工作</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其中</w:t>
      </w:r>
      <w:r>
        <w:rPr>
          <w:rFonts w:hint="eastAsia" w:ascii="宋体" w:hAnsi="宋体" w:eastAsia="宋体" w:cs="宋体"/>
          <w:color w:val="auto"/>
          <w:sz w:val="24"/>
          <w:szCs w:val="24"/>
          <w:lang w:val="en-US" w:eastAsia="zh-CN"/>
        </w:rPr>
        <w:t>网上宣传报名技术支持服务、在线笔试技术支持服务和现场面试辅助性服务等</w:t>
      </w:r>
      <w:r>
        <w:rPr>
          <w:rFonts w:hint="eastAsia" w:ascii="宋体" w:hAnsi="宋体" w:cs="宋体"/>
          <w:color w:val="auto"/>
          <w:sz w:val="24"/>
          <w:szCs w:val="24"/>
          <w:lang w:val="en-US" w:eastAsia="zh-CN"/>
        </w:rPr>
        <w:t>技术性辅助性服务</w:t>
      </w:r>
      <w:r>
        <w:rPr>
          <w:rFonts w:hint="eastAsia" w:ascii="宋体" w:hAnsi="宋体" w:eastAsia="宋体" w:cs="宋体"/>
          <w:color w:val="auto"/>
          <w:sz w:val="24"/>
          <w:szCs w:val="24"/>
          <w:lang w:val="en-US" w:eastAsia="zh-CN"/>
        </w:rPr>
        <w:t>拟委托第三方专业机构承接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依据</w:t>
      </w:r>
      <w:r>
        <w:rPr>
          <w:rFonts w:hint="eastAsia" w:ascii="宋体" w:hAnsi="宋体" w:eastAsia="宋体" w:cs="宋体"/>
          <w:color w:val="auto"/>
          <w:sz w:val="24"/>
          <w:szCs w:val="24"/>
          <w:lang w:eastAsia="zh-CN"/>
        </w:rPr>
        <w:t>南山区</w:t>
      </w:r>
      <w:r>
        <w:rPr>
          <w:rFonts w:hint="eastAsia" w:ascii="宋体" w:hAnsi="宋体" w:eastAsia="宋体" w:cs="宋体"/>
          <w:color w:val="auto"/>
          <w:sz w:val="24"/>
          <w:szCs w:val="24"/>
        </w:rPr>
        <w:t>采购相关规定</w:t>
      </w:r>
      <w:r>
        <w:rPr>
          <w:rFonts w:hint="eastAsia" w:ascii="宋体" w:hAnsi="宋体" w:cs="宋体"/>
          <w:color w:val="auto"/>
          <w:sz w:val="24"/>
          <w:szCs w:val="24"/>
          <w:lang w:eastAsia="zh-CN"/>
        </w:rPr>
        <w:t>，</w:t>
      </w:r>
      <w:r>
        <w:rPr>
          <w:rFonts w:hint="eastAsia" w:ascii="宋体" w:hAnsi="宋体" w:eastAsia="宋体" w:cs="宋体"/>
          <w:color w:val="auto"/>
          <w:sz w:val="24"/>
          <w:szCs w:val="24"/>
        </w:rPr>
        <w:t>南山区人力资源局就</w:t>
      </w:r>
      <w:r>
        <w:rPr>
          <w:rFonts w:hint="eastAsia" w:ascii="宋体" w:hAnsi="宋体" w:eastAsia="宋体" w:cs="宋体"/>
          <w:color w:val="auto"/>
          <w:sz w:val="24"/>
          <w:szCs w:val="24"/>
          <w:lang w:eastAsia="zh-CN"/>
        </w:rPr>
        <w:t>采购</w:t>
      </w:r>
      <w:r>
        <w:rPr>
          <w:rFonts w:hint="eastAsia" w:hAnsi="宋体" w:cs="Courier New"/>
          <w:color w:val="auto"/>
          <w:sz w:val="24"/>
          <w:szCs w:val="24"/>
          <w:highlight w:val="none"/>
        </w:rPr>
        <w:t>深圳市南山区机关事业</w:t>
      </w:r>
      <w:r>
        <w:rPr>
          <w:rFonts w:hint="eastAsia" w:ascii="宋体" w:hAnsi="宋体" w:eastAsia="宋体" w:cs="宋体"/>
          <w:color w:val="auto"/>
          <w:sz w:val="24"/>
          <w:szCs w:val="24"/>
          <w:highlight w:val="none"/>
        </w:rPr>
        <w:t>单位2023</w:t>
      </w:r>
      <w:r>
        <w:rPr>
          <w:rFonts w:hint="eastAsia" w:hAnsi="宋体" w:cs="Courier New"/>
          <w:color w:val="auto"/>
          <w:sz w:val="24"/>
          <w:szCs w:val="24"/>
          <w:highlight w:val="none"/>
        </w:rPr>
        <w:t>年第二季度公开招聘编外人员技术性辅助性服务项目</w:t>
      </w:r>
      <w:r>
        <w:rPr>
          <w:rFonts w:hint="eastAsia" w:ascii="宋体" w:hAnsi="宋体" w:eastAsia="宋体" w:cs="宋体"/>
          <w:color w:val="auto"/>
          <w:sz w:val="24"/>
          <w:szCs w:val="24"/>
        </w:rPr>
        <w:t>进行</w:t>
      </w:r>
      <w:r>
        <w:rPr>
          <w:rFonts w:hint="eastAsia" w:ascii="宋体" w:hAnsi="宋体" w:cs="宋体"/>
          <w:color w:val="auto"/>
          <w:sz w:val="24"/>
          <w:szCs w:val="24"/>
          <w:lang w:eastAsia="zh-CN"/>
        </w:rPr>
        <w:t>自行采购</w:t>
      </w:r>
      <w:r>
        <w:rPr>
          <w:rFonts w:hint="eastAsia" w:ascii="宋体" w:hAnsi="宋体" w:eastAsia="宋体" w:cs="宋体"/>
          <w:color w:val="auto"/>
          <w:sz w:val="24"/>
          <w:szCs w:val="24"/>
          <w:lang w:eastAsia="zh-CN"/>
        </w:rPr>
        <w:t>公开</w:t>
      </w:r>
      <w:r>
        <w:rPr>
          <w:rFonts w:hint="eastAsia" w:ascii="宋体" w:hAnsi="宋体" w:eastAsia="宋体" w:cs="宋体"/>
          <w:color w:val="auto"/>
          <w:sz w:val="24"/>
          <w:szCs w:val="24"/>
        </w:rPr>
        <w:t>招标。</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项目名称：</w:t>
      </w:r>
      <w:r>
        <w:rPr>
          <w:rFonts w:hint="eastAsia" w:hAnsi="宋体" w:cs="Courier New"/>
          <w:color w:val="auto"/>
          <w:sz w:val="24"/>
          <w:szCs w:val="24"/>
          <w:highlight w:val="none"/>
        </w:rPr>
        <w:t>深圳市南山区机</w:t>
      </w:r>
      <w:r>
        <w:rPr>
          <w:rFonts w:hint="eastAsia" w:ascii="宋体" w:hAnsi="宋体" w:eastAsia="宋体" w:cs="宋体"/>
          <w:color w:val="auto"/>
          <w:sz w:val="24"/>
          <w:szCs w:val="24"/>
          <w:highlight w:val="none"/>
        </w:rPr>
        <w:t>关事业单位2023年第二</w:t>
      </w:r>
      <w:r>
        <w:rPr>
          <w:rFonts w:hint="eastAsia" w:hAnsi="宋体" w:cs="Courier New"/>
          <w:color w:val="auto"/>
          <w:sz w:val="24"/>
          <w:szCs w:val="24"/>
          <w:highlight w:val="none"/>
        </w:rPr>
        <w:t>季度公开招聘编外人员技术性辅助性服务项目</w:t>
      </w:r>
      <w:r>
        <w:rPr>
          <w:rFonts w:hint="eastAsia" w:ascii="宋体" w:hAnsi="宋体" w:eastAsia="宋体" w:cs="宋体"/>
          <w:color w:val="auto"/>
          <w:sz w:val="24"/>
          <w:szCs w:val="24"/>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项目内容</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招聘服务。</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仿宋_GB2312" w:hAnsi="仿宋_GB2312" w:eastAsia="仿宋_GB2312" w:cs="仿宋_GB2312"/>
          <w:color w:val="auto"/>
          <w:sz w:val="24"/>
          <w:szCs w:val="24"/>
          <w:highlight w:val="none"/>
          <w:lang w:eastAsia="zh-CN"/>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预算控制价为</w:t>
      </w:r>
      <w:r>
        <w:rPr>
          <w:rFonts w:hint="eastAsia" w:ascii="仿宋_GB2312" w:hAnsi="仿宋_GB2312" w:eastAsia="仿宋_GB2312" w:cs="仿宋_GB2312"/>
          <w:color w:val="auto"/>
          <w:sz w:val="24"/>
          <w:szCs w:val="24"/>
        </w:rPr>
        <w:t>：</w:t>
      </w:r>
      <w:r>
        <w:rPr>
          <w:rFonts w:hint="eastAsia" w:ascii="宋体" w:hAnsi="宋体" w:cs="宋体"/>
          <w:color w:val="auto"/>
          <w:sz w:val="24"/>
          <w:szCs w:val="24"/>
          <w:highlight w:val="none"/>
          <w:u w:val="none"/>
          <w:lang w:val="en-US" w:eastAsia="zh-CN"/>
        </w:rPr>
        <w:t>699190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服务期限：</w:t>
      </w:r>
      <w:r>
        <w:rPr>
          <w:rFonts w:hint="eastAsia" w:ascii="宋体" w:hAnsi="宋体" w:eastAsia="宋体" w:cs="宋体"/>
          <w:color w:val="auto"/>
          <w:sz w:val="24"/>
          <w:szCs w:val="24"/>
          <w:lang w:eastAsia="zh-CN"/>
        </w:rPr>
        <w:t>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月至202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年</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月。</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中标供应商按照采购单位制定的</w:t>
      </w:r>
      <w:r>
        <w:rPr>
          <w:rFonts w:hint="eastAsia" w:ascii="宋体" w:hAnsi="宋体" w:cs="宋体"/>
          <w:color w:val="auto"/>
          <w:sz w:val="24"/>
          <w:szCs w:val="24"/>
          <w:lang w:eastAsia="zh-CN"/>
        </w:rPr>
        <w:t>招聘</w:t>
      </w:r>
      <w:r>
        <w:rPr>
          <w:rFonts w:hint="eastAsia" w:ascii="宋体" w:hAnsi="宋体" w:eastAsia="宋体" w:cs="宋体"/>
          <w:color w:val="auto"/>
          <w:sz w:val="24"/>
          <w:szCs w:val="24"/>
        </w:rPr>
        <w:t>服务目标任务，</w:t>
      </w:r>
      <w:r>
        <w:rPr>
          <w:rFonts w:hint="eastAsia" w:ascii="宋体" w:hAnsi="宋体" w:cs="宋体"/>
          <w:color w:val="auto"/>
          <w:sz w:val="24"/>
          <w:szCs w:val="24"/>
          <w:lang w:eastAsia="zh-CN"/>
        </w:rPr>
        <w:t>保质保量完成任务</w:t>
      </w:r>
      <w:r>
        <w:rPr>
          <w:rFonts w:hint="eastAsia" w:ascii="宋体" w:hAnsi="宋体" w:eastAsia="宋体" w:cs="宋体"/>
          <w:color w:val="auto"/>
          <w:sz w:val="24"/>
          <w:szCs w:val="24"/>
        </w:rPr>
        <w:t>，服从采购单位的工作安排，做好相关工作。</w:t>
      </w: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rPr>
      </w:pPr>
      <w:bookmarkStart w:id="6" w:name="_Toc11580"/>
      <w:r>
        <w:rPr>
          <w:rFonts w:hint="eastAsia" w:ascii="宋体" w:hAnsi="宋体" w:eastAsia="宋体" w:cs="宋体"/>
          <w:b/>
          <w:bCs w:val="0"/>
          <w:color w:val="auto"/>
          <w:sz w:val="24"/>
          <w:szCs w:val="24"/>
          <w:highlight w:val="none"/>
        </w:rPr>
        <w:t>（二）供应商应具备的资格要求</w:t>
      </w:r>
      <w:bookmarkEnd w:id="6"/>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投标方必须是在中华人民共和国国内注册的独立法人（提供营业执照复印件或扫描件，加盖公章，原件备查）或经具有独立法人资格的企业授权的分公司</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提供分公司/分支机构营业执照复印件或扫描件及其所属集团、总公司或母公司等法人组织所出具的授权书或承诺书复印件或扫描件，加盖公章，原件备查</w:t>
      </w:r>
      <w:r>
        <w:rPr>
          <w:rFonts w:hint="eastAsia" w:ascii="宋体" w:hAnsi="宋体" w:cs="宋体"/>
          <w:color w:val="auto"/>
          <w:sz w:val="24"/>
          <w:szCs w:val="24"/>
          <w:lang w:eastAsia="zh-CN"/>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本项目不接受联合体投标</w:t>
      </w:r>
      <w:r>
        <w:rPr>
          <w:rFonts w:hint="eastAsia" w:ascii="宋体" w:hAnsi="宋体" w:cs="宋体"/>
          <w:color w:val="auto"/>
          <w:sz w:val="24"/>
          <w:szCs w:val="24"/>
          <w:highlight w:val="none"/>
          <w:lang w:eastAsia="zh-CN"/>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3.参与本项目投标前三年内，在经营活动中没有重大违法记录（由供应商在《履约承诺函》中作出声明）；</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4.具备《中华人民共和国政府采购法》第二十二条第一款的条件（由供应商在《履约承诺函》中作出声明）；</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5.未被列入失信被执行人、重大税收违法案件当事人名单、政府采购严重违法失信行为记录名单（由供应商在《履约承诺函》中作出声明）；</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投标商</w:t>
      </w:r>
      <w:r>
        <w:rPr>
          <w:rFonts w:hint="eastAsia" w:ascii="宋体" w:hAnsi="宋体" w:cs="宋体"/>
          <w:color w:val="auto"/>
          <w:sz w:val="24"/>
          <w:szCs w:val="24"/>
          <w:highlight w:val="none"/>
          <w:lang w:eastAsia="zh-CN"/>
        </w:rPr>
        <w:t>许可经营项目</w:t>
      </w:r>
      <w:r>
        <w:rPr>
          <w:rFonts w:hint="eastAsia" w:ascii="宋体" w:hAnsi="宋体" w:eastAsia="宋体" w:cs="宋体"/>
          <w:color w:val="auto"/>
          <w:sz w:val="24"/>
          <w:szCs w:val="24"/>
          <w:highlight w:val="none"/>
          <w:lang w:eastAsia="zh-CN"/>
        </w:rPr>
        <w:t>须</w:t>
      </w:r>
      <w:r>
        <w:rPr>
          <w:rFonts w:hint="eastAsia" w:ascii="宋体" w:hAnsi="宋体" w:cs="宋体"/>
          <w:color w:val="auto"/>
          <w:sz w:val="24"/>
          <w:szCs w:val="24"/>
          <w:highlight w:val="none"/>
          <w:lang w:eastAsia="zh-CN"/>
        </w:rPr>
        <w:t>包</w:t>
      </w:r>
      <w:r>
        <w:rPr>
          <w:rFonts w:hint="eastAsia" w:ascii="宋体" w:hAnsi="宋体" w:eastAsia="宋体" w:cs="宋体"/>
          <w:color w:val="auto"/>
          <w:sz w:val="24"/>
          <w:szCs w:val="24"/>
          <w:highlight w:val="none"/>
          <w:lang w:eastAsia="zh-CN"/>
        </w:rPr>
        <w:t>含</w:t>
      </w:r>
      <w:r>
        <w:rPr>
          <w:rFonts w:hint="eastAsia" w:ascii="宋体" w:hAnsi="宋体" w:cs="宋体"/>
          <w:color w:val="auto"/>
          <w:sz w:val="24"/>
          <w:szCs w:val="24"/>
          <w:highlight w:val="none"/>
          <w:lang w:eastAsia="zh-CN"/>
        </w:rPr>
        <w:t>人才供求信息服务和</w:t>
      </w:r>
      <w:r>
        <w:rPr>
          <w:rFonts w:hint="eastAsia" w:ascii="宋体" w:hAnsi="宋体" w:eastAsia="宋体" w:cs="宋体"/>
          <w:color w:val="auto"/>
          <w:sz w:val="24"/>
          <w:szCs w:val="24"/>
          <w:highlight w:val="none"/>
          <w:lang w:eastAsia="zh-CN"/>
        </w:rPr>
        <w:t>人才招聘</w:t>
      </w:r>
      <w:r>
        <w:rPr>
          <w:rFonts w:hint="eastAsia" w:ascii="宋体" w:hAnsi="宋体" w:cs="宋体"/>
          <w:color w:val="auto"/>
          <w:sz w:val="24"/>
          <w:szCs w:val="24"/>
          <w:highlight w:val="none"/>
          <w:lang w:eastAsia="zh-CN"/>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有承接</w:t>
      </w:r>
      <w:r>
        <w:rPr>
          <w:rFonts w:hint="eastAsia" w:ascii="宋体" w:hAnsi="宋体" w:eastAsia="宋体" w:cs="宋体"/>
          <w:strike w:val="0"/>
          <w:color w:val="auto"/>
          <w:sz w:val="24"/>
          <w:szCs w:val="24"/>
          <w:highlight w:val="none"/>
        </w:rPr>
        <w:t>机关事业单位</w:t>
      </w:r>
      <w:r>
        <w:rPr>
          <w:rFonts w:hint="eastAsia" w:ascii="宋体" w:hAnsi="宋体" w:eastAsia="宋体" w:cs="宋体"/>
          <w:color w:val="auto"/>
          <w:sz w:val="24"/>
          <w:szCs w:val="24"/>
          <w:highlight w:val="none"/>
        </w:rPr>
        <w:t>招聘</w:t>
      </w:r>
      <w:r>
        <w:rPr>
          <w:rFonts w:hint="eastAsia" w:ascii="宋体" w:hAnsi="宋体" w:cs="宋体"/>
          <w:color w:val="auto"/>
          <w:sz w:val="24"/>
          <w:szCs w:val="24"/>
          <w:highlight w:val="none"/>
          <w:lang w:eastAsia="zh-CN"/>
        </w:rPr>
        <w:t>服务项目的丰富经验</w:t>
      </w:r>
      <w:r>
        <w:rPr>
          <w:rFonts w:hint="eastAsia" w:ascii="宋体" w:hAnsi="宋体" w:eastAsia="宋体" w:cs="宋体"/>
          <w:color w:val="auto"/>
          <w:sz w:val="24"/>
          <w:szCs w:val="24"/>
          <w:highlight w:val="none"/>
        </w:rPr>
        <w:t>，口碑</w:t>
      </w:r>
      <w:r>
        <w:rPr>
          <w:rFonts w:hint="eastAsia" w:ascii="宋体" w:hAnsi="宋体" w:cs="宋体"/>
          <w:color w:val="auto"/>
          <w:sz w:val="24"/>
          <w:szCs w:val="24"/>
          <w:highlight w:val="none"/>
          <w:lang w:eastAsia="zh-CN"/>
        </w:rPr>
        <w:t>良</w:t>
      </w:r>
      <w:r>
        <w:rPr>
          <w:rFonts w:hint="eastAsia" w:ascii="宋体" w:hAnsi="宋体" w:eastAsia="宋体" w:cs="宋体"/>
          <w:color w:val="auto"/>
          <w:sz w:val="24"/>
          <w:szCs w:val="24"/>
          <w:highlight w:val="none"/>
        </w:rPr>
        <w:t>好，专业过硬</w:t>
      </w:r>
      <w:r>
        <w:rPr>
          <w:rFonts w:hint="eastAsia" w:ascii="宋体" w:hAnsi="宋体" w:cs="宋体"/>
          <w:color w:val="auto"/>
          <w:sz w:val="24"/>
          <w:szCs w:val="24"/>
          <w:highlight w:val="none"/>
          <w:lang w:eastAsia="zh-CN"/>
        </w:rPr>
        <w:t>；</w:t>
      </w:r>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有</w:t>
      </w:r>
      <w:r>
        <w:rPr>
          <w:rFonts w:hint="eastAsia" w:ascii="宋体" w:hAnsi="宋体" w:eastAsia="宋体" w:cs="宋体"/>
          <w:color w:val="auto"/>
          <w:sz w:val="24"/>
          <w:szCs w:val="24"/>
          <w:highlight w:val="none"/>
        </w:rPr>
        <w:t>强烈的社会责任感和综合实力，具有正规、稳定、资金风险低等优势</w:t>
      </w:r>
      <w:r>
        <w:rPr>
          <w:rFonts w:hint="eastAsia" w:ascii="宋体" w:hAnsi="宋体" w:cs="宋体"/>
          <w:color w:val="auto"/>
          <w:sz w:val="24"/>
          <w:szCs w:val="24"/>
          <w:highlight w:val="none"/>
          <w:lang w:eastAsia="zh-CN"/>
        </w:rPr>
        <w:t>。</w:t>
      </w: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rPr>
      </w:pPr>
      <w:bookmarkStart w:id="7" w:name="_Toc4466"/>
      <w:r>
        <w:rPr>
          <w:rFonts w:hint="eastAsia" w:ascii="宋体" w:hAnsi="宋体" w:eastAsia="宋体" w:cs="宋体"/>
          <w:b/>
          <w:bCs w:val="0"/>
          <w:color w:val="auto"/>
          <w:sz w:val="24"/>
          <w:szCs w:val="24"/>
          <w:highlight w:val="none"/>
        </w:rPr>
        <w:t>（三）目标</w:t>
      </w:r>
      <w:r>
        <w:rPr>
          <w:rFonts w:hint="eastAsia" w:ascii="宋体" w:hAnsi="宋体" w:eastAsia="宋体" w:cs="宋体"/>
          <w:b/>
          <w:bCs w:val="0"/>
          <w:color w:val="auto"/>
          <w:sz w:val="24"/>
          <w:szCs w:val="24"/>
          <w:highlight w:val="none"/>
          <w:lang w:eastAsia="zh-CN"/>
        </w:rPr>
        <w:t>任务、工作内容</w:t>
      </w:r>
      <w:bookmarkEnd w:id="7"/>
    </w:p>
    <w:p>
      <w:pPr>
        <w:pStyle w:val="18"/>
        <w:pageBreakBefore w:val="0"/>
        <w:widowControl w:val="0"/>
        <w:kinsoku/>
        <w:wordWrap/>
        <w:overflowPunct/>
        <w:topLinePunct w:val="0"/>
        <w:autoSpaceDE/>
        <w:autoSpaceDN/>
        <w:bidi w:val="0"/>
        <w:snapToGrid w:val="0"/>
        <w:spacing w:line="360" w:lineRule="auto"/>
        <w:ind w:firstLine="480"/>
        <w:textAlignment w:val="auto"/>
        <w:rPr>
          <w:rFonts w:hint="eastAsia" w:ascii="宋体" w:hAnsi="宋体" w:eastAsia="宋体" w:cs="宋体"/>
          <w:color w:val="auto"/>
          <w:sz w:val="24"/>
          <w:szCs w:val="24"/>
          <w:highlight w:val="yellow"/>
        </w:rPr>
      </w:pPr>
      <w:r>
        <w:rPr>
          <w:rFonts w:hint="eastAsia" w:ascii="宋体" w:hAnsi="宋体" w:eastAsia="宋体" w:cs="宋体"/>
          <w:b/>
          <w:bCs/>
          <w:color w:val="auto"/>
          <w:sz w:val="24"/>
          <w:szCs w:val="24"/>
        </w:rPr>
        <w:t>1</w:t>
      </w:r>
      <w:r>
        <w:rPr>
          <w:rFonts w:hint="eastAsia" w:ascii="宋体" w:hAnsi="宋体" w:cs="宋体"/>
          <w:b/>
          <w:bCs/>
          <w:color w:val="auto"/>
          <w:sz w:val="24"/>
          <w:szCs w:val="24"/>
          <w:lang w:val="en-US" w:eastAsia="zh-CN"/>
        </w:rPr>
        <w:t>.</w:t>
      </w:r>
      <w:r>
        <w:rPr>
          <w:rFonts w:hint="eastAsia" w:ascii="宋体" w:hAnsi="宋体" w:eastAsia="宋体" w:cs="宋体"/>
          <w:b/>
          <w:bCs/>
          <w:color w:val="auto"/>
          <w:sz w:val="24"/>
          <w:szCs w:val="24"/>
        </w:rPr>
        <w:t>目标任务</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lang w:eastAsia="zh-CN"/>
        </w:rPr>
        <w:t>按照《深圳市南山区编外人员公开招聘办法（试行）》</w:t>
      </w:r>
      <w:r>
        <w:rPr>
          <w:rFonts w:hint="eastAsia" w:ascii="宋体" w:hAnsi="宋体" w:cs="宋体"/>
          <w:color w:val="auto"/>
          <w:sz w:val="24"/>
          <w:szCs w:val="24"/>
          <w:lang w:eastAsia="zh-CN"/>
        </w:rPr>
        <w:t>等相关规定和要求，开展</w:t>
      </w:r>
      <w:r>
        <w:rPr>
          <w:rFonts w:hint="eastAsia" w:hAnsi="宋体" w:cs="Courier New"/>
          <w:color w:val="auto"/>
          <w:sz w:val="24"/>
          <w:szCs w:val="24"/>
          <w:highlight w:val="none"/>
        </w:rPr>
        <w:t>南山区机关事业单位</w:t>
      </w:r>
      <w:r>
        <w:rPr>
          <w:rFonts w:hint="eastAsia" w:ascii="宋体" w:hAnsi="宋体" w:eastAsia="宋体" w:cs="宋体"/>
          <w:color w:val="auto"/>
          <w:sz w:val="24"/>
          <w:szCs w:val="24"/>
          <w:highlight w:val="none"/>
        </w:rPr>
        <w:t>2023</w:t>
      </w:r>
      <w:r>
        <w:rPr>
          <w:rFonts w:hint="eastAsia" w:hAnsi="宋体" w:cs="Courier New"/>
          <w:color w:val="auto"/>
          <w:sz w:val="24"/>
          <w:szCs w:val="24"/>
          <w:highlight w:val="none"/>
        </w:rPr>
        <w:t>年第二季度公开招聘编外</w:t>
      </w:r>
      <w:r>
        <w:rPr>
          <w:rFonts w:hint="eastAsia" w:hAnsi="宋体" w:cs="Courier New"/>
          <w:color w:val="auto"/>
          <w:sz w:val="24"/>
          <w:szCs w:val="24"/>
          <w:highlight w:val="none"/>
          <w:lang w:eastAsia="zh-CN"/>
        </w:rPr>
        <w:t>人员</w:t>
      </w:r>
      <w:r>
        <w:rPr>
          <w:rFonts w:hint="eastAsia" w:ascii="宋体" w:hAnsi="宋体" w:eastAsia="宋体" w:cs="宋体"/>
          <w:color w:val="auto"/>
          <w:sz w:val="24"/>
          <w:szCs w:val="24"/>
          <w:lang w:eastAsia="zh-CN"/>
        </w:rPr>
        <w:t>网上宣传报名技术支持服务、在线笔试技术支持服务</w:t>
      </w:r>
      <w:r>
        <w:rPr>
          <w:rFonts w:hint="eastAsia" w:ascii="宋体" w:hAnsi="宋体" w:cs="宋体"/>
          <w:color w:val="auto"/>
          <w:sz w:val="24"/>
          <w:szCs w:val="24"/>
          <w:lang w:eastAsia="zh-CN"/>
        </w:rPr>
        <w:t>和</w:t>
      </w:r>
      <w:r>
        <w:rPr>
          <w:rFonts w:hint="eastAsia" w:ascii="宋体" w:hAnsi="宋体" w:eastAsia="宋体" w:cs="宋体"/>
          <w:color w:val="auto"/>
          <w:sz w:val="24"/>
          <w:szCs w:val="24"/>
          <w:lang w:eastAsia="zh-CN"/>
        </w:rPr>
        <w:t>现场面试辅助性服务等</w:t>
      </w:r>
      <w:r>
        <w:rPr>
          <w:rFonts w:hint="eastAsia" w:ascii="宋体" w:hAnsi="宋体" w:cs="宋体"/>
          <w:color w:val="auto"/>
          <w:sz w:val="24"/>
          <w:szCs w:val="24"/>
          <w:lang w:val="en-US" w:eastAsia="zh-CN"/>
        </w:rPr>
        <w:t>技术性辅助性服务，完成本次公开招聘工作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cs="宋体"/>
          <w:b/>
          <w:bCs/>
          <w:color w:val="auto"/>
          <w:sz w:val="24"/>
          <w:szCs w:val="24"/>
          <w:lang w:val="en-US" w:eastAsia="zh-CN"/>
        </w:rPr>
        <w:t>.</w:t>
      </w:r>
      <w:r>
        <w:rPr>
          <w:rFonts w:hint="eastAsia" w:ascii="宋体" w:hAnsi="宋体" w:eastAsia="宋体" w:cs="宋体"/>
          <w:b/>
          <w:bCs/>
          <w:color w:val="auto"/>
          <w:sz w:val="24"/>
          <w:szCs w:val="24"/>
        </w:rPr>
        <w:t>工作内容</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本项目主要工作内容(包含但不限于)包括: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根据《深圳市南山区编外人员公开招聘办法（试行）》等相关规定和要求，制定本次公开招聘编外人员技术性辅助性服务工作方案。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（2）开展招聘宣传推广工作</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（3）搭建招聘报名系统及提供配套服务</w:t>
      </w:r>
      <w:r>
        <w:rPr>
          <w:rFonts w:hint="eastAsia" w:ascii="宋体" w:hAnsi="宋体" w:eastAsia="宋体" w:cs="宋体"/>
          <w:color w:val="auto"/>
          <w:sz w:val="24"/>
          <w:szCs w:val="24"/>
          <w:highlight w:val="none"/>
        </w:rPr>
        <w:t>(数量</w:t>
      </w:r>
      <w:r>
        <w:rPr>
          <w:rFonts w:hint="eastAsia" w:ascii="宋体" w:hAnsi="宋体" w:eastAsia="宋体" w:cs="宋体"/>
          <w:color w:val="auto"/>
          <w:sz w:val="24"/>
          <w:szCs w:val="24"/>
          <w:highlight w:val="none"/>
          <w:lang w:eastAsia="zh-CN"/>
        </w:rPr>
        <w:t>预计</w:t>
      </w:r>
      <w:r>
        <w:rPr>
          <w:rFonts w:hint="eastAsia" w:ascii="宋体" w:hAnsi="宋体" w:cs="宋体"/>
          <w:color w:val="auto"/>
          <w:sz w:val="24"/>
          <w:szCs w:val="24"/>
          <w:highlight w:val="none"/>
          <w:lang w:val="en-US" w:eastAsia="zh-CN"/>
        </w:rPr>
        <w:t>10000人</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（4）笔试命题服务</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行政能力测试题和主观写作题</w:t>
      </w:r>
      <w:r>
        <w:rPr>
          <w:rFonts w:hint="eastAsia" w:ascii="宋体" w:hAnsi="宋体" w:cs="宋体"/>
          <w:color w:val="auto"/>
          <w:sz w:val="24"/>
          <w:szCs w:val="24"/>
          <w:highlight w:val="none"/>
          <w:lang w:val="en-US" w:eastAsia="zh-CN"/>
        </w:rPr>
        <w:t>，AB卷模式</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（5）搭建在线笔试系统及提供配套服务（</w:t>
      </w:r>
      <w:r>
        <w:rPr>
          <w:rFonts w:hint="eastAsia" w:ascii="宋体" w:hAnsi="宋体" w:eastAsia="宋体" w:cs="宋体"/>
          <w:color w:val="auto"/>
          <w:sz w:val="24"/>
          <w:szCs w:val="24"/>
          <w:highlight w:val="none"/>
        </w:rPr>
        <w:t>数量</w:t>
      </w:r>
      <w:r>
        <w:rPr>
          <w:rFonts w:hint="eastAsia" w:ascii="宋体" w:hAnsi="宋体" w:eastAsia="宋体" w:cs="宋体"/>
          <w:color w:val="auto"/>
          <w:sz w:val="24"/>
          <w:szCs w:val="24"/>
          <w:highlight w:val="none"/>
          <w:lang w:eastAsia="zh-CN"/>
        </w:rPr>
        <w:t>预计</w:t>
      </w:r>
      <w:r>
        <w:rPr>
          <w:rFonts w:hint="eastAsia" w:ascii="宋体" w:hAnsi="宋体" w:cs="宋体"/>
          <w:color w:val="auto"/>
          <w:sz w:val="24"/>
          <w:szCs w:val="24"/>
          <w:highlight w:val="none"/>
          <w:lang w:val="en-US" w:eastAsia="zh-CN"/>
        </w:rPr>
        <w:t>6000人）；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（6）提供面试现场电子设备、场地布置、物资保障和后勤服务（数量预计800人）；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（7）落实</w:t>
      </w:r>
      <w:r>
        <w:rPr>
          <w:rFonts w:hint="eastAsia" w:ascii="宋体" w:hAnsi="宋体" w:cs="宋体"/>
          <w:b w:val="0"/>
          <w:bCs w:val="0"/>
          <w:color w:val="auto"/>
          <w:sz w:val="24"/>
          <w:szCs w:val="24"/>
          <w:lang w:eastAsia="zh-CN"/>
        </w:rPr>
        <w:t>南山区人力资源局</w:t>
      </w:r>
      <w:r>
        <w:rPr>
          <w:rFonts w:hint="eastAsia" w:ascii="宋体" w:hAnsi="宋体" w:cs="宋体"/>
          <w:b w:val="0"/>
          <w:bCs w:val="0"/>
          <w:color w:val="auto"/>
          <w:sz w:val="24"/>
          <w:szCs w:val="24"/>
          <w:highlight w:val="none"/>
          <w:lang w:val="en-US" w:eastAsia="zh-CN"/>
        </w:rPr>
        <w:t>根据招聘方案提出的其他要求等。</w:t>
      </w: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rPr>
      </w:pPr>
      <w:bookmarkStart w:id="8" w:name="_Toc13349"/>
      <w:r>
        <w:rPr>
          <w:rFonts w:hint="eastAsia" w:ascii="宋体" w:hAnsi="宋体" w:eastAsia="宋体" w:cs="宋体"/>
          <w:b/>
          <w:bCs w:val="0"/>
          <w:color w:val="auto"/>
          <w:sz w:val="24"/>
          <w:szCs w:val="24"/>
          <w:highlight w:val="none"/>
          <w:lang w:val="en-US" w:eastAsia="zh-CN"/>
        </w:rPr>
        <w:t>（四）服务</w:t>
      </w:r>
      <w:r>
        <w:rPr>
          <w:rFonts w:hint="eastAsia" w:ascii="宋体" w:hAnsi="宋体" w:eastAsia="宋体" w:cs="宋体"/>
          <w:b/>
          <w:bCs w:val="0"/>
          <w:color w:val="auto"/>
          <w:sz w:val="24"/>
          <w:szCs w:val="24"/>
          <w:highlight w:val="none"/>
        </w:rPr>
        <w:t>要求</w:t>
      </w:r>
      <w:bookmarkEnd w:id="8"/>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提供每日报名考生的统计数据和人力资源分析，对报考人数不满足开考要求的岗位加强宣传推广。</w:t>
      </w:r>
      <w:bookmarkStart w:id="29" w:name="_GoBack"/>
      <w:bookmarkEnd w:id="29"/>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笔试</w:t>
      </w:r>
      <w:r>
        <w:rPr>
          <w:rFonts w:hint="eastAsia" w:ascii="宋体" w:hAnsi="宋体" w:eastAsia="宋体" w:cs="宋体"/>
          <w:color w:val="auto"/>
          <w:sz w:val="24"/>
          <w:szCs w:val="24"/>
          <w:highlight w:val="none"/>
        </w:rPr>
        <w:t>系统可以满足</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万人以上用户同时登录使用。     </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提供24小时客服支持，确保</w:t>
      </w:r>
      <w:r>
        <w:rPr>
          <w:rFonts w:hint="eastAsia" w:ascii="宋体" w:hAnsi="宋体" w:cs="宋体"/>
          <w:color w:val="auto"/>
          <w:sz w:val="24"/>
          <w:szCs w:val="24"/>
          <w:highlight w:val="none"/>
          <w:lang w:eastAsia="zh-CN"/>
        </w:rPr>
        <w:t>报名和笔试系统</w:t>
      </w:r>
      <w:r>
        <w:rPr>
          <w:rFonts w:hint="eastAsia" w:ascii="宋体" w:hAnsi="宋体" w:eastAsia="宋体" w:cs="宋体"/>
          <w:color w:val="auto"/>
          <w:sz w:val="24"/>
          <w:szCs w:val="24"/>
          <w:highlight w:val="none"/>
        </w:rPr>
        <w:t>正常运行及紧急情况处理。</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w:t>
      </w:r>
      <w:r>
        <w:rPr>
          <w:rFonts w:hint="eastAsia" w:ascii="宋体" w:hAnsi="宋体" w:cs="宋体"/>
          <w:color w:val="auto"/>
          <w:sz w:val="24"/>
          <w:highlight w:val="none"/>
          <w:lang w:eastAsia="zh-CN"/>
        </w:rPr>
        <w:t>工作人员</w:t>
      </w:r>
      <w:r>
        <w:rPr>
          <w:rFonts w:hint="eastAsia" w:ascii="宋体" w:hAnsi="宋体" w:cs="宋体"/>
          <w:color w:val="auto"/>
          <w:sz w:val="24"/>
          <w:highlight w:val="none"/>
        </w:rPr>
        <w:t>上岗前</w:t>
      </w:r>
      <w:r>
        <w:rPr>
          <w:rFonts w:hint="eastAsia" w:ascii="宋体" w:hAnsi="宋体" w:cs="宋体"/>
          <w:color w:val="auto"/>
          <w:sz w:val="24"/>
          <w:highlight w:val="none"/>
          <w:lang w:eastAsia="zh-CN"/>
        </w:rPr>
        <w:t>须</w:t>
      </w:r>
      <w:r>
        <w:rPr>
          <w:rFonts w:hint="eastAsia" w:ascii="宋体" w:hAnsi="宋体" w:cs="宋体"/>
          <w:color w:val="auto"/>
          <w:sz w:val="24"/>
          <w:highlight w:val="none"/>
        </w:rPr>
        <w:t>签订保密承诺书和廉洁承诺书，格式自拟。</w:t>
      </w: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bookmarkStart w:id="9" w:name="_Toc29881"/>
      <w:r>
        <w:rPr>
          <w:rFonts w:hint="eastAsia" w:ascii="宋体" w:hAnsi="宋体" w:eastAsia="宋体" w:cs="宋体"/>
          <w:b/>
          <w:bCs w:val="0"/>
          <w:color w:val="auto"/>
          <w:sz w:val="24"/>
          <w:szCs w:val="24"/>
          <w:highlight w:val="none"/>
          <w:lang w:val="en-US" w:eastAsia="zh-CN"/>
        </w:rPr>
        <w:t>（五）投标报价要求</w:t>
      </w:r>
      <w:bookmarkEnd w:id="9"/>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1.本项目服务费</w:t>
      </w:r>
      <w:r>
        <w:rPr>
          <w:rFonts w:hint="eastAsia" w:ascii="宋体" w:hAnsi="宋体" w:cs="宋体"/>
          <w:color w:val="auto"/>
          <w:sz w:val="24"/>
          <w:szCs w:val="24"/>
          <w:lang w:val="en-US" w:eastAsia="zh-CN"/>
        </w:rPr>
        <w:t>按实际产生的数量据实结算。</w:t>
      </w:r>
      <w:r>
        <w:rPr>
          <w:rFonts w:hint="eastAsia" w:ascii="宋体" w:hAnsi="宋体" w:eastAsia="宋体" w:cs="宋体"/>
          <w:color w:val="auto"/>
          <w:sz w:val="24"/>
          <w:szCs w:val="24"/>
        </w:rPr>
        <w:t>一经中标，投标报价总价作为中标单位与采购方签订的合同金额，</w:t>
      </w:r>
      <w:r>
        <w:rPr>
          <w:rFonts w:hint="eastAsia" w:ascii="宋体" w:hAnsi="宋体" w:eastAsia="宋体" w:cs="宋体"/>
          <w:color w:val="auto"/>
          <w:sz w:val="24"/>
          <w:szCs w:val="24"/>
          <w:lang w:eastAsia="zh-CN"/>
        </w:rPr>
        <w:t>结算</w:t>
      </w:r>
      <w:r>
        <w:rPr>
          <w:rFonts w:hint="eastAsia" w:ascii="宋体" w:hAnsi="宋体" w:cs="宋体"/>
          <w:color w:val="auto"/>
          <w:sz w:val="24"/>
          <w:szCs w:val="24"/>
          <w:lang w:eastAsia="zh-CN"/>
        </w:rPr>
        <w:t>价</w:t>
      </w:r>
      <w:r>
        <w:rPr>
          <w:rFonts w:hint="eastAsia" w:ascii="宋体" w:hAnsi="宋体" w:eastAsia="宋体" w:cs="宋体"/>
          <w:color w:val="auto"/>
          <w:sz w:val="24"/>
          <w:szCs w:val="24"/>
          <w:lang w:eastAsia="zh-CN"/>
        </w:rPr>
        <w:t>按完成实际工作量进行结算</w:t>
      </w:r>
      <w:r>
        <w:rPr>
          <w:rFonts w:hint="eastAsia" w:ascii="宋体" w:hAnsi="宋体" w:eastAsia="宋体" w:cs="宋体"/>
          <w:color w:val="auto"/>
          <w:sz w:val="24"/>
          <w:szCs w:val="24"/>
        </w:rPr>
        <w:t>。</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2.投标方应提供详细分项报价清单。</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3.投标方的投标报价应根据本企业的成本自行决定报价，但不得以低于其企业成本的报价投标。</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4.投标方的投标报价，应是本项目招标范围和招标文件及合同条</w:t>
      </w:r>
      <w:r>
        <w:rPr>
          <w:rFonts w:hint="eastAsia" w:ascii="宋体" w:hAnsi="宋体" w:cs="宋体"/>
          <w:color w:val="auto"/>
          <w:sz w:val="24"/>
          <w:szCs w:val="24"/>
          <w:lang w:val="en-US" w:eastAsia="zh-CN"/>
        </w:rPr>
        <w:t>款</w:t>
      </w:r>
      <w:r>
        <w:rPr>
          <w:rFonts w:hint="eastAsia" w:ascii="宋体" w:hAnsi="宋体" w:eastAsia="宋体" w:cs="宋体"/>
          <w:color w:val="auto"/>
          <w:sz w:val="24"/>
          <w:szCs w:val="24"/>
        </w:rPr>
        <w:t>上所列的各项内容中所述的全部，不得以任何理由予以重复。投标方中标后不得在原报价的基础上再提出任何增加</w:t>
      </w:r>
      <w:r>
        <w:rPr>
          <w:rFonts w:hint="eastAsia" w:ascii="宋体" w:hAnsi="宋体" w:cs="宋体"/>
          <w:color w:val="auto"/>
          <w:sz w:val="24"/>
          <w:szCs w:val="24"/>
          <w:lang w:eastAsia="zh-CN"/>
        </w:rPr>
        <w:t>项目及</w:t>
      </w:r>
      <w:r>
        <w:rPr>
          <w:rFonts w:hint="eastAsia" w:ascii="宋体" w:hAnsi="宋体" w:eastAsia="宋体" w:cs="宋体"/>
          <w:color w:val="auto"/>
          <w:sz w:val="24"/>
          <w:szCs w:val="24"/>
        </w:rPr>
        <w:t>费用的要求。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5.投标方的投标报价金额精确到个位数，不得超过</w:t>
      </w:r>
      <w:r>
        <w:rPr>
          <w:rFonts w:hint="eastAsia" w:ascii="宋体" w:hAnsi="宋体" w:cs="宋体"/>
          <w:color w:val="auto"/>
          <w:sz w:val="24"/>
          <w:szCs w:val="24"/>
          <w:lang w:eastAsia="zh-CN"/>
        </w:rPr>
        <w:t>招标控制价，</w:t>
      </w:r>
      <w:r>
        <w:rPr>
          <w:rFonts w:hint="eastAsia" w:ascii="宋体" w:hAnsi="宋体" w:eastAsia="宋体" w:cs="宋体"/>
          <w:color w:val="auto"/>
          <w:sz w:val="24"/>
          <w:szCs w:val="24"/>
          <w:lang w:eastAsia="zh-CN"/>
        </w:rPr>
        <w:t>否则视为无效报价。</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6.投标方不得期望通过索赔等方式获取补偿，否则，除可能遭到拒绝外，还可能将被作为不良行为记录在案，并可能影响其以后参加政府采购的项目投标。各投标方在投标报价时，应充分考虑投标报价的风险。</w:t>
      </w:r>
    </w:p>
    <w:p>
      <w:pPr>
        <w:pStyle w:val="2"/>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bookmarkStart w:id="10" w:name="_Toc13539"/>
      <w:r>
        <w:rPr>
          <w:rFonts w:hint="eastAsia" w:ascii="宋体" w:hAnsi="宋体" w:eastAsia="宋体" w:cs="宋体"/>
          <w:b/>
          <w:bCs w:val="0"/>
          <w:color w:val="auto"/>
          <w:sz w:val="24"/>
          <w:szCs w:val="24"/>
          <w:highlight w:val="none"/>
          <w:lang w:val="en-US" w:eastAsia="zh-CN"/>
        </w:rPr>
        <w:t>（六）项目管理要求</w:t>
      </w:r>
      <w:bookmarkEnd w:id="10"/>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1.组织实施要求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(1)为确保本项目管理规范、实施有力，中标方应成立项目组，按采购方要求完成工作任务。</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(2)中标方应按招标文件规定的内容，按时保质保量完成项目工作，成果若达不到采购方要求，采购方有权与其解除合同。</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2.服务期限要求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本项目服务期限为自合同签订之日起</w:t>
      </w:r>
      <w:r>
        <w:rPr>
          <w:rFonts w:hint="eastAsia" w:ascii="宋体" w:hAnsi="宋体" w:cs="宋体"/>
          <w:color w:val="auto"/>
          <w:sz w:val="24"/>
          <w:szCs w:val="24"/>
          <w:lang w:eastAsia="zh-CN"/>
        </w:rPr>
        <w:t>至</w:t>
      </w:r>
      <w:r>
        <w:rPr>
          <w:rFonts w:hint="eastAsia" w:ascii="宋体" w:hAnsi="宋体" w:cs="宋体"/>
          <w:color w:val="auto"/>
          <w:sz w:val="24"/>
          <w:szCs w:val="24"/>
          <w:lang w:val="en-US" w:eastAsia="zh-CN"/>
        </w:rPr>
        <w:t>本次招聘工作</w:t>
      </w:r>
      <w:r>
        <w:rPr>
          <w:rFonts w:hint="eastAsia" w:ascii="宋体" w:hAnsi="宋体" w:eastAsia="宋体" w:cs="宋体"/>
          <w:color w:val="auto"/>
          <w:sz w:val="24"/>
          <w:szCs w:val="24"/>
        </w:rPr>
        <w:t>完成并通过验收</w:t>
      </w:r>
      <w:r>
        <w:rPr>
          <w:rFonts w:hint="eastAsia" w:ascii="宋体" w:hAnsi="宋体" w:cs="宋体"/>
          <w:color w:val="auto"/>
          <w:sz w:val="24"/>
          <w:szCs w:val="24"/>
          <w:lang w:eastAsia="zh-CN"/>
        </w:rPr>
        <w:t>之日止</w:t>
      </w:r>
      <w:r>
        <w:rPr>
          <w:rFonts w:hint="eastAsia" w:ascii="宋体" w:hAnsi="宋体" w:eastAsia="宋体" w:cs="宋体"/>
          <w:color w:val="auto"/>
          <w:sz w:val="24"/>
          <w:szCs w:val="24"/>
        </w:rPr>
        <w:t>。</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3.人员安排要求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(1)投标方拟投入本项目的</w:t>
      </w:r>
      <w:r>
        <w:rPr>
          <w:rFonts w:hint="eastAsia" w:ascii="宋体" w:hAnsi="宋体" w:eastAsia="宋体" w:cs="宋体"/>
          <w:color w:val="auto"/>
          <w:sz w:val="24"/>
          <w:szCs w:val="24"/>
          <w:highlight w:val="none"/>
        </w:rPr>
        <w:t>项目负责人须在单位担任中层以上职务，具有统筹管理和领导经验。项目实施中原</w:t>
      </w:r>
      <w:r>
        <w:rPr>
          <w:rFonts w:hint="eastAsia" w:ascii="宋体" w:hAnsi="宋体" w:eastAsia="宋体" w:cs="宋体"/>
          <w:color w:val="auto"/>
          <w:sz w:val="24"/>
          <w:szCs w:val="24"/>
        </w:rPr>
        <w:t>则上不允许更换项目负责人，因特殊情况确需更换的，需报采购单位同意。</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(2)投标方项目团队成员(项目负责人除外)不少于</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名，需具备1年以上工作经验，全程为本项目提供工作保障服务。在服务有效期内，团队所有成员应尽快熟悉、掌握服务项目的全部流程及相关工作，全程协助采购方开展各项工作，确保项目运作顺畅有序；遵守采购人的工作纪律和要求，无故违反或拒不遵守的视为履行服务不合格，采购单位有权要求更换团队成员。</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(3)中标方不得随意更换项目负责人和项目团队成员，如不经采购方同意擅自更换，则采购方有权解除合同或根据情节对其处以5000元/次的罚款。</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4.验收要求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yellow"/>
        </w:rPr>
      </w:pPr>
      <w:r>
        <w:rPr>
          <w:rFonts w:hint="eastAsia" w:ascii="宋体" w:hAnsi="宋体" w:cs="宋体"/>
          <w:color w:val="auto"/>
          <w:sz w:val="24"/>
          <w:szCs w:val="24"/>
          <w:highlight w:val="none"/>
          <w:lang w:eastAsia="zh-CN"/>
        </w:rPr>
        <w:t>中标人应根据采购人的验收标准和验收清单，提交验收相关材料，其中纸质材料应按照要求先整理、归类和装订，具体材料以采购方要求为准，其中包括且不限于各类数据表格、监考日志等，合同履行完毕后，中标人未经采购人书面同意不得将专项活动相关资料及在履行合同过程中所获得或接触到的任何采购人提供的内部数据资料进行保存或用于本活动以外的任何地方，否则采购人将保留追究中标单位法律责任的权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5.付款要求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签订合同</w:t>
      </w:r>
      <w:r>
        <w:rPr>
          <w:rFonts w:hint="eastAsia" w:ascii="宋体" w:hAnsi="宋体" w:cs="宋体"/>
          <w:color w:val="auto"/>
          <w:sz w:val="24"/>
          <w:szCs w:val="24"/>
          <w:highlight w:val="none"/>
          <w:lang w:eastAsia="zh-CN"/>
        </w:rPr>
        <w:t>后后支付项目费用</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0%，完成所有合同工作内容验收</w:t>
      </w:r>
      <w:r>
        <w:rPr>
          <w:rFonts w:hint="eastAsia" w:ascii="宋体" w:hAnsi="宋体" w:cs="宋体"/>
          <w:color w:val="auto"/>
          <w:sz w:val="24"/>
          <w:szCs w:val="24"/>
          <w:lang w:eastAsia="zh-CN"/>
        </w:rPr>
        <w:t>后支付项目费用</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0%。</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6.项目其他要求</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(1)本项目所需的一切相关资料及标准等均需由中标方自行收集，中标方使用的</w:t>
      </w:r>
      <w:r>
        <w:rPr>
          <w:rFonts w:hint="eastAsia" w:ascii="宋体" w:hAnsi="宋体" w:eastAsia="宋体" w:cs="宋体"/>
          <w:color w:val="auto"/>
          <w:sz w:val="24"/>
          <w:szCs w:val="24"/>
          <w:highlight w:val="none"/>
        </w:rPr>
        <w:t>标准必须是国家、广东省、深圳市颁布的同等或更高的标准。</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(2)中标方不得将本项目非法分包或转包给任何单位和个人。否则，采购方有权即刻终止合同，并要求中标方赔偿相应损失。</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(3)项目成果不符合招标文件规定的成果内容，将视为无效。</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(4)如遇政策调整、预算调整或机构改革等采购方不可控因素，本项目可随时中止。采购方不承担任何赔偿或补偿责任。</w:t>
      </w:r>
    </w:p>
    <w:p>
      <w:pPr>
        <w:pStyle w:val="2"/>
        <w:numPr>
          <w:ilvl w:val="0"/>
          <w:numId w:val="1"/>
        </w:numPr>
        <w:rPr>
          <w:rFonts w:hint="eastAsia"/>
          <w:color w:val="auto"/>
          <w:szCs w:val="32"/>
          <w:lang w:val="en-US" w:eastAsia="zh-CN"/>
        </w:rPr>
      </w:pPr>
      <w:bookmarkStart w:id="11" w:name="_Toc518649756"/>
      <w:bookmarkStart w:id="12" w:name="_Toc15077"/>
      <w:r>
        <w:rPr>
          <w:rFonts w:hint="eastAsia"/>
          <w:color w:val="auto"/>
          <w:szCs w:val="32"/>
          <w:lang w:val="en-US" w:eastAsia="zh-CN"/>
        </w:rPr>
        <w:t>评分标准</w:t>
      </w:r>
      <w:bookmarkEnd w:id="11"/>
      <w:bookmarkEnd w:id="12"/>
    </w:p>
    <w:tbl>
      <w:tblPr>
        <w:tblStyle w:val="13"/>
        <w:tblW w:w="9072" w:type="dxa"/>
        <w:jc w:val="center"/>
        <w:tblCellSpacing w:w="0" w:type="dxa"/>
        <w:tblLayout w:type="autofit"/>
        <w:tblCellMar>
          <w:top w:w="45" w:type="dxa"/>
          <w:left w:w="45" w:type="dxa"/>
          <w:bottom w:w="45" w:type="dxa"/>
          <w:right w:w="45" w:type="dxa"/>
        </w:tblCellMar>
      </w:tblPr>
      <w:tblGrid>
        <w:gridCol w:w="8680"/>
        <w:gridCol w:w="392"/>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rPr>
                <w:rFonts w:ascii="宋体" w:hAnsi="宋体" w:cs="宋体"/>
                <w:b/>
                <w:bCs/>
                <w:color w:val="auto"/>
                <w:sz w:val="24"/>
              </w:rPr>
            </w:pPr>
            <w:r>
              <w:rPr>
                <w:b/>
                <w:bCs/>
                <w:color w:val="auto"/>
              </w:rPr>
              <w:t>评标方法：综合评分法</w:t>
            </w:r>
          </w:p>
        </w:tc>
        <w:tc>
          <w:tcPr>
            <w:tcW w:w="0" w:type="auto"/>
            <w:tcBorders>
              <w:top w:val="nil"/>
              <w:left w:val="nil"/>
              <w:bottom w:val="nil"/>
              <w:right w:val="nil"/>
            </w:tcBorders>
            <w:vAlign w:val="center"/>
          </w:tcPr>
          <w:p>
            <w:pPr>
              <w:jc w:val="right"/>
              <w:rPr>
                <w:rFonts w:ascii="宋体" w:hAnsi="宋体" w:cs="宋体"/>
                <w:b/>
                <w:bCs/>
                <w:color w:val="auto"/>
                <w:sz w:val="24"/>
              </w:rPr>
            </w:pPr>
          </w:p>
        </w:tc>
      </w:tr>
      <w:tr>
        <w:tblPrEx>
          <w:tblCellMar>
            <w:top w:w="45" w:type="dxa"/>
            <w:left w:w="45" w:type="dxa"/>
            <w:bottom w:w="45" w:type="dxa"/>
            <w:right w:w="45" w:type="dxa"/>
          </w:tblCellMar>
        </w:tblPrEx>
        <w:trPr>
          <w:tblCellSpacing w:w="0" w:type="dxa"/>
          <w:jc w:val="center"/>
        </w:trPr>
        <w:tc>
          <w:tcPr>
            <w:tcW w:w="0" w:type="auto"/>
            <w:gridSpan w:val="2"/>
            <w:tcBorders>
              <w:top w:val="nil"/>
              <w:left w:val="nil"/>
              <w:bottom w:val="nil"/>
              <w:right w:val="nil"/>
            </w:tcBorders>
            <w:vAlign w:val="center"/>
          </w:tcPr>
          <w:p>
            <w:pPr>
              <w:pStyle w:val="12"/>
              <w:spacing w:line="324" w:lineRule="auto"/>
              <w:ind w:firstLine="420"/>
              <w:rPr>
                <w:color w:val="auto"/>
                <w:sz w:val="21"/>
                <w:szCs w:val="21"/>
              </w:rPr>
            </w:pPr>
            <w:r>
              <w:rPr>
                <w:color w:val="auto"/>
                <w:sz w:val="21"/>
                <w:szCs w:val="21"/>
              </w:rPr>
              <w:t xml:space="preserve">综合评分法，是指投标文件满足招标文件全部实质性要求，且按照评审因素的量化指标评审得分最高的投标人为中标候选人的评标方法。 </w:t>
            </w:r>
          </w:p>
          <w:p>
            <w:pPr>
              <w:pStyle w:val="12"/>
              <w:ind w:firstLine="420"/>
              <w:rPr>
                <w:color w:val="auto"/>
                <w:sz w:val="21"/>
                <w:szCs w:val="21"/>
              </w:rPr>
            </w:pPr>
            <w:r>
              <w:rPr>
                <w:color w:val="auto"/>
                <w:sz w:val="21"/>
                <w:szCs w:val="21"/>
              </w:rPr>
              <w:t>价格分计算方法：</w:t>
            </w:r>
          </w:p>
          <w:p>
            <w:pPr>
              <w:pStyle w:val="12"/>
              <w:spacing w:line="324" w:lineRule="auto"/>
              <w:ind w:left="420"/>
              <w:rPr>
                <w:color w:val="auto"/>
                <w:sz w:val="21"/>
                <w:szCs w:val="21"/>
              </w:rPr>
            </w:pPr>
            <w:r>
              <w:rPr>
                <w:color w:val="auto"/>
                <w:sz w:val="21"/>
                <w:szCs w:val="21"/>
              </w:rPr>
              <w:t xml:space="preserve">采用低价优先法计算，即满足招标文件要求且投标价格最低的投标报价为评标基准价，其价格分为满分。其他投标人的价格分统一按照下列公式计算： </w:t>
            </w:r>
            <w:r>
              <w:rPr>
                <w:color w:val="auto"/>
                <w:sz w:val="21"/>
                <w:szCs w:val="21"/>
              </w:rPr>
              <w:br w:type="textWrapping"/>
            </w:r>
            <w:r>
              <w:rPr>
                <w:color w:val="auto"/>
                <w:sz w:val="21"/>
                <w:szCs w:val="21"/>
              </w:rPr>
              <w:t xml:space="preserve">投标报价得分=(评标基准价／投标报价)×100 </w:t>
            </w:r>
            <w:r>
              <w:rPr>
                <w:color w:val="auto"/>
                <w:sz w:val="21"/>
                <w:szCs w:val="21"/>
              </w:rPr>
              <w:br w:type="textWrapping"/>
            </w:r>
            <w:r>
              <w:rPr>
                <w:color w:val="auto"/>
                <w:sz w:val="21"/>
                <w:szCs w:val="21"/>
              </w:rPr>
              <w:t xml:space="preserve">评标总得分＝F1×A1＋F2×A2＋……＋Fn×An </w:t>
            </w:r>
            <w:r>
              <w:rPr>
                <w:color w:val="auto"/>
                <w:sz w:val="21"/>
                <w:szCs w:val="21"/>
              </w:rPr>
              <w:br w:type="textWrapping"/>
            </w:r>
            <w:r>
              <w:rPr>
                <w:color w:val="auto"/>
                <w:sz w:val="21"/>
                <w:szCs w:val="21"/>
              </w:rPr>
              <w:t xml:space="preserve">F1、F2……Fn分别为各项评审因素的得分； </w:t>
            </w:r>
            <w:r>
              <w:rPr>
                <w:color w:val="auto"/>
                <w:sz w:val="21"/>
                <w:szCs w:val="21"/>
              </w:rPr>
              <w:br w:type="textWrapping"/>
            </w:r>
            <w:r>
              <w:rPr>
                <w:color w:val="auto"/>
                <w:sz w:val="21"/>
                <w:szCs w:val="21"/>
              </w:rPr>
              <w:t xml:space="preserve">A1、A2、……An 分别为各项评审因素所占的权重(A1＋A2＋……＋An＝1)。 </w:t>
            </w:r>
          </w:p>
        </w:tc>
      </w:tr>
    </w:tbl>
    <w:tbl>
      <w:tblPr>
        <w:tblStyle w:val="1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069"/>
        <w:gridCol w:w="5651"/>
        <w:gridCol w:w="71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18" w:type="dxa"/>
          </w:tcPr>
          <w:p>
            <w:pPr>
              <w:rPr>
                <w:b/>
                <w:bCs/>
                <w:color w:val="auto"/>
              </w:rPr>
            </w:pPr>
            <w:r>
              <w:rPr>
                <w:rFonts w:hint="eastAsia"/>
                <w:b/>
                <w:bCs/>
                <w:color w:val="auto"/>
              </w:rPr>
              <w:t>评审部分</w:t>
            </w:r>
          </w:p>
        </w:tc>
        <w:tc>
          <w:tcPr>
            <w:tcW w:w="1069" w:type="dxa"/>
          </w:tcPr>
          <w:p>
            <w:pPr>
              <w:rPr>
                <w:b/>
                <w:bCs/>
                <w:color w:val="auto"/>
              </w:rPr>
            </w:pPr>
            <w:r>
              <w:rPr>
                <w:rFonts w:hint="eastAsia"/>
                <w:b/>
                <w:bCs/>
                <w:color w:val="auto"/>
              </w:rPr>
              <w:t>评审因素</w:t>
            </w:r>
          </w:p>
        </w:tc>
        <w:tc>
          <w:tcPr>
            <w:tcW w:w="5651" w:type="dxa"/>
          </w:tcPr>
          <w:p>
            <w:pPr>
              <w:rPr>
                <w:b/>
                <w:bCs/>
                <w:color w:val="auto"/>
              </w:rPr>
            </w:pPr>
            <w:r>
              <w:rPr>
                <w:rFonts w:hint="eastAsia"/>
                <w:b/>
                <w:bCs/>
                <w:color w:val="auto"/>
              </w:rPr>
              <w:t>评分细则</w:t>
            </w:r>
          </w:p>
        </w:tc>
        <w:tc>
          <w:tcPr>
            <w:tcW w:w="710" w:type="dxa"/>
          </w:tcPr>
          <w:p>
            <w:pPr>
              <w:rPr>
                <w:b/>
                <w:bCs/>
                <w:color w:val="auto"/>
              </w:rPr>
            </w:pPr>
            <w:r>
              <w:rPr>
                <w:rFonts w:hint="eastAsia"/>
                <w:b/>
                <w:bCs/>
                <w:color w:val="auto"/>
              </w:rPr>
              <w:t>权重（%）</w:t>
            </w:r>
          </w:p>
        </w:tc>
        <w:tc>
          <w:tcPr>
            <w:tcW w:w="711" w:type="dxa"/>
          </w:tcPr>
          <w:p>
            <w:pPr>
              <w:rPr>
                <w:b/>
                <w:bCs/>
                <w:color w:val="auto"/>
              </w:rPr>
            </w:pPr>
            <w:r>
              <w:rPr>
                <w:rFonts w:hint="eastAsia"/>
                <w:b/>
                <w:bCs/>
                <w:color w:val="auto"/>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tcPr>
          <w:p>
            <w:pPr>
              <w:rPr>
                <w:b/>
                <w:bCs/>
                <w:color w:val="auto"/>
              </w:rPr>
            </w:pPr>
            <w:r>
              <w:rPr>
                <w:rFonts w:hint="eastAsia"/>
                <w:b/>
                <w:bCs/>
                <w:color w:val="auto"/>
              </w:rPr>
              <w:t>一</w:t>
            </w:r>
          </w:p>
        </w:tc>
        <w:tc>
          <w:tcPr>
            <w:tcW w:w="8141" w:type="dxa"/>
            <w:gridSpan w:val="4"/>
          </w:tcPr>
          <w:p>
            <w:pPr>
              <w:jc w:val="center"/>
              <w:rPr>
                <w:b/>
                <w:bCs/>
                <w:color w:val="auto"/>
              </w:rPr>
            </w:pPr>
            <w:r>
              <w:rPr>
                <w:rFonts w:hint="eastAsia"/>
                <w:b/>
                <w:bCs/>
                <w:color w:val="auto"/>
              </w:rPr>
              <w:t>技术部分（35分）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restart"/>
          </w:tcPr>
          <w:p>
            <w:pPr>
              <w:rPr>
                <w:color w:val="auto"/>
              </w:rPr>
            </w:pPr>
            <w:r>
              <w:rPr>
                <w:rFonts w:hint="eastAsia"/>
                <w:color w:val="auto"/>
              </w:rPr>
              <w:t>1 </w:t>
            </w:r>
          </w:p>
        </w:tc>
        <w:tc>
          <w:tcPr>
            <w:tcW w:w="1069" w:type="dxa"/>
            <w:vMerge w:val="restart"/>
          </w:tcPr>
          <w:p>
            <w:pPr>
              <w:rPr>
                <w:color w:val="auto"/>
              </w:rPr>
            </w:pPr>
            <w:r>
              <w:rPr>
                <w:rFonts w:hint="eastAsia"/>
                <w:color w:val="auto"/>
              </w:rPr>
              <w:t>实施方案</w:t>
            </w:r>
          </w:p>
        </w:tc>
        <w:tc>
          <w:tcPr>
            <w:tcW w:w="5651" w:type="dxa"/>
          </w:tcPr>
          <w:p>
            <w:pPr>
              <w:rPr>
                <w:b/>
                <w:bCs/>
                <w:color w:val="auto"/>
              </w:rPr>
            </w:pPr>
            <w:r>
              <w:rPr>
                <w:rFonts w:hint="eastAsia"/>
                <w:b/>
                <w:bCs/>
                <w:color w:val="auto"/>
              </w:rPr>
              <w:t>（一）评审内容：</w:t>
            </w:r>
          </w:p>
        </w:tc>
        <w:tc>
          <w:tcPr>
            <w:tcW w:w="710" w:type="dxa"/>
            <w:vMerge w:val="restart"/>
            <w:vAlign w:val="center"/>
          </w:tcPr>
          <w:p>
            <w:pPr>
              <w:jc w:val="center"/>
              <w:rPr>
                <w:color w:val="auto"/>
              </w:rPr>
            </w:pPr>
            <w:r>
              <w:rPr>
                <w:rFonts w:hint="eastAsia"/>
                <w:color w:val="auto"/>
              </w:rPr>
              <w:t>10</w:t>
            </w:r>
          </w:p>
        </w:tc>
        <w:tc>
          <w:tcPr>
            <w:tcW w:w="711" w:type="dxa"/>
            <w:vMerge w:val="restart"/>
            <w:vAlign w:val="center"/>
          </w:tcPr>
          <w:p>
            <w:pPr>
              <w:jc w:val="center"/>
              <w:rPr>
                <w:color w:val="auto"/>
              </w:rPr>
            </w:pP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 xml:space="preserve">根据本项目需求提供整体实施方案，包括但不限于：工作方法、工作流程、项目人员组织架构及分工、进度安排等。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优良中差评分标准：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（1）项目实施方案内容全面；</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（2）项目实施方案内容具体；</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（3）项目实施方案内容针对性强；</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（4）项目实施方案内容科学合理；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（5）项目实施方案内容可操作性强。</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b/>
                <w:bCs/>
                <w:color w:val="auto"/>
              </w:rPr>
            </w:pPr>
            <w:r>
              <w:rPr>
                <w:rFonts w:hint="eastAsia"/>
                <w:b/>
                <w:bCs/>
                <w:color w:val="auto"/>
              </w:rPr>
              <w:t>（二）评分依据：</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满足以上五项要求为优得100分，满足以上四项要求为良得75分，满足以上三项要求为中得50分，其</w:t>
            </w:r>
            <w:r>
              <w:rPr>
                <w:rFonts w:hint="eastAsia"/>
                <w:color w:val="auto"/>
                <w:lang w:eastAsia="zh-CN"/>
              </w:rPr>
              <w:t>他</w:t>
            </w:r>
            <w:r>
              <w:rPr>
                <w:rFonts w:hint="eastAsia"/>
                <w:color w:val="auto"/>
              </w:rPr>
              <w:t>情况为差不得分。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restart"/>
          </w:tcPr>
          <w:p>
            <w:pPr>
              <w:rPr>
                <w:color w:val="auto"/>
              </w:rPr>
            </w:pPr>
            <w:r>
              <w:rPr>
                <w:rFonts w:hint="eastAsia"/>
                <w:color w:val="auto"/>
              </w:rPr>
              <w:t>2</w:t>
            </w:r>
          </w:p>
        </w:tc>
        <w:tc>
          <w:tcPr>
            <w:tcW w:w="1069" w:type="dxa"/>
            <w:vMerge w:val="restart"/>
          </w:tcPr>
          <w:p>
            <w:pPr>
              <w:rPr>
                <w:color w:val="auto"/>
              </w:rPr>
            </w:pPr>
            <w:r>
              <w:rPr>
                <w:rFonts w:hint="eastAsia"/>
                <w:color w:val="auto"/>
              </w:rPr>
              <w:t>项目重点难点分析、应对措施及相关的合理化建议</w:t>
            </w:r>
          </w:p>
        </w:tc>
        <w:tc>
          <w:tcPr>
            <w:tcW w:w="5651" w:type="dxa"/>
          </w:tcPr>
          <w:p>
            <w:pPr>
              <w:rPr>
                <w:b/>
                <w:bCs/>
                <w:color w:val="auto"/>
              </w:rPr>
            </w:pPr>
            <w:r>
              <w:rPr>
                <w:rFonts w:hint="eastAsia"/>
                <w:b/>
                <w:bCs/>
                <w:color w:val="auto"/>
              </w:rPr>
              <w:t>（一）评审内容：</w:t>
            </w:r>
          </w:p>
        </w:tc>
        <w:tc>
          <w:tcPr>
            <w:tcW w:w="710" w:type="dxa"/>
            <w:vMerge w:val="restart"/>
            <w:vAlign w:val="center"/>
          </w:tcPr>
          <w:p>
            <w:pPr>
              <w:jc w:val="center"/>
              <w:rPr>
                <w:color w:val="auto"/>
              </w:rPr>
            </w:pPr>
            <w:r>
              <w:rPr>
                <w:rFonts w:hint="eastAsia"/>
                <w:color w:val="auto"/>
              </w:rPr>
              <w:t>10</w:t>
            </w:r>
          </w:p>
        </w:tc>
        <w:tc>
          <w:tcPr>
            <w:tcW w:w="711" w:type="dxa"/>
            <w:vMerge w:val="restart"/>
            <w:vAlign w:val="center"/>
          </w:tcPr>
          <w:p>
            <w:pPr>
              <w:jc w:val="center"/>
              <w:rPr>
                <w:color w:val="auto"/>
              </w:rPr>
            </w:pP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投标人根据项目中的重点难点进行详细的分析并提出相应解决方案</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b/>
                <w:bCs/>
                <w:color w:val="auto"/>
              </w:rPr>
            </w:pPr>
            <w:r>
              <w:rPr>
                <w:rFonts w:hint="eastAsia"/>
                <w:b/>
                <w:bCs/>
                <w:color w:val="auto"/>
              </w:rPr>
              <w:t>（二）评分依据：</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根据招标文件的需求和投标文件响应情况进行评分：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评分标准：提出3点得80分，2点得70分，1点得50分，其余情况不得分。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在此基础上，专家根据各供应商的具体响应内容按照量化的评审因素指标进一步评审，评审为优(重难点分析针对性强，应对措施全面具体，建议科学合理可操作性强）的加20分，评审为良(重难点分析针对性较强，应对措施较全面，建议科学合理可操作性较好）的加 15分，评审为中（重难点分析针对性一般，有应对措施，建议可操作性一般）的加10分，评价为差（总体规划无特点，配套措施较差，服务方案较差）不得分。本项最高得100分。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Merge w:val="restart"/>
          </w:tcPr>
          <w:p>
            <w:pPr>
              <w:rPr>
                <w:color w:val="auto"/>
              </w:rPr>
            </w:pPr>
            <w:r>
              <w:rPr>
                <w:rFonts w:hint="eastAsia"/>
                <w:color w:val="auto"/>
              </w:rPr>
              <w:t>3</w:t>
            </w:r>
          </w:p>
        </w:tc>
        <w:tc>
          <w:tcPr>
            <w:tcW w:w="1069" w:type="dxa"/>
            <w:vMerge w:val="restart"/>
          </w:tcPr>
          <w:p>
            <w:pPr>
              <w:rPr>
                <w:color w:val="auto"/>
              </w:rPr>
            </w:pPr>
            <w:r>
              <w:rPr>
                <w:rFonts w:hint="eastAsia"/>
                <w:color w:val="auto"/>
              </w:rPr>
              <w:t>质量（完成时间、安全、环保）保障措施及方案</w:t>
            </w:r>
          </w:p>
        </w:tc>
        <w:tc>
          <w:tcPr>
            <w:tcW w:w="5651" w:type="dxa"/>
          </w:tcPr>
          <w:p>
            <w:pPr>
              <w:rPr>
                <w:b/>
                <w:bCs/>
                <w:color w:val="auto"/>
              </w:rPr>
            </w:pPr>
            <w:r>
              <w:rPr>
                <w:rFonts w:hint="eastAsia"/>
                <w:b/>
                <w:bCs/>
                <w:color w:val="auto"/>
              </w:rPr>
              <w:t>（一）评审内容：</w:t>
            </w:r>
          </w:p>
        </w:tc>
        <w:tc>
          <w:tcPr>
            <w:tcW w:w="710" w:type="dxa"/>
            <w:vMerge w:val="restart"/>
            <w:vAlign w:val="center"/>
          </w:tcPr>
          <w:p>
            <w:pPr>
              <w:jc w:val="center"/>
              <w:rPr>
                <w:color w:val="auto"/>
              </w:rPr>
            </w:pPr>
            <w:r>
              <w:rPr>
                <w:rFonts w:hint="eastAsia"/>
                <w:color w:val="auto"/>
              </w:rPr>
              <w:t>5</w:t>
            </w:r>
          </w:p>
        </w:tc>
        <w:tc>
          <w:tcPr>
            <w:tcW w:w="711" w:type="dxa"/>
            <w:vMerge w:val="restart"/>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阐述项目质量管理制度措施（重点关注投标人的《工作进度表》能依照项目活动的时间顺序，列出</w:t>
            </w:r>
            <w:r>
              <w:rPr>
                <w:rFonts w:hint="eastAsia"/>
                <w:color w:val="auto"/>
                <w:lang w:eastAsia="zh-CN"/>
              </w:rPr>
              <w:t>每个阶段</w:t>
            </w:r>
            <w:r>
              <w:rPr>
                <w:rFonts w:hint="eastAsia"/>
                <w:color w:val="auto"/>
              </w:rPr>
              <w:t>工作内容、目标，以及逐条提出确保质量的工作措施及合理性），阐述项目资料、保证服务人员的稳定、保证服务的质量、项目成果安全性保障措施。</w:t>
            </w:r>
            <w:r>
              <w:rPr>
                <w:color w:val="auto"/>
              </w:rPr>
              <w:t xml:space="preserve">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w:t>
            </w:r>
            <w:r>
              <w:rPr>
                <w:color w:val="auto"/>
              </w:rPr>
              <w:t>1</w:t>
            </w:r>
            <w:r>
              <w:rPr>
                <w:rFonts w:hint="eastAsia"/>
                <w:color w:val="auto"/>
              </w:rPr>
              <w:t>）具备合理的保障项目质量工作措施及相关管理制度（重点关注投标人的《工作进度表》能依照项目活动的时间顺序，列出每</w:t>
            </w:r>
            <w:r>
              <w:rPr>
                <w:rFonts w:hint="eastAsia"/>
                <w:color w:val="auto"/>
                <w:lang w:eastAsia="zh-CN"/>
              </w:rPr>
              <w:t>个阶段</w:t>
            </w:r>
            <w:r>
              <w:rPr>
                <w:rFonts w:hint="eastAsia"/>
                <w:color w:val="auto"/>
              </w:rPr>
              <w:t>工作内容、目标，以及逐条提出确保质量的工作措施及合理性）；</w:t>
            </w:r>
            <w:r>
              <w:rPr>
                <w:color w:val="auto"/>
              </w:rPr>
              <w:t xml:space="preserve">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w:t>
            </w:r>
            <w:r>
              <w:rPr>
                <w:color w:val="auto"/>
              </w:rPr>
              <w:t>2</w:t>
            </w:r>
            <w:r>
              <w:rPr>
                <w:rFonts w:hint="eastAsia"/>
                <w:color w:val="auto"/>
              </w:rPr>
              <w:t>）服务质量检查、整改方案详细，且能有效把控项目成果；</w:t>
            </w:r>
            <w:r>
              <w:rPr>
                <w:color w:val="auto"/>
              </w:rPr>
              <w:t xml:space="preserve">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w:t>
            </w:r>
            <w:r>
              <w:rPr>
                <w:color w:val="auto"/>
              </w:rPr>
              <w:t>3</w:t>
            </w:r>
            <w:r>
              <w:rPr>
                <w:rFonts w:hint="eastAsia"/>
                <w:color w:val="auto"/>
              </w:rPr>
              <w:t>）项目实施过程中服务人员的稳定性强；</w:t>
            </w:r>
            <w:r>
              <w:rPr>
                <w:color w:val="auto"/>
              </w:rPr>
              <w:t xml:space="preserve">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w:t>
            </w:r>
            <w:r>
              <w:rPr>
                <w:color w:val="auto"/>
              </w:rPr>
              <w:t>4</w:t>
            </w:r>
            <w:r>
              <w:rPr>
                <w:rFonts w:hint="eastAsia"/>
                <w:color w:val="auto"/>
              </w:rPr>
              <w:t>）项目成果安全性保障措施可靠。</w:t>
            </w:r>
            <w:r>
              <w:rPr>
                <w:color w:val="auto"/>
              </w:rPr>
              <w:t xml:space="preserve"> </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b/>
                <w:bCs/>
                <w:color w:val="auto"/>
              </w:rPr>
            </w:pPr>
            <w:r>
              <w:rPr>
                <w:rFonts w:hint="eastAsia"/>
                <w:b/>
                <w:bCs/>
                <w:color w:val="auto"/>
              </w:rPr>
              <w:t>（二）评分依据：</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满足以上四项要求的得</w:t>
            </w:r>
            <w:r>
              <w:rPr>
                <w:color w:val="auto"/>
              </w:rPr>
              <w:t>100</w:t>
            </w:r>
            <w:r>
              <w:rPr>
                <w:rFonts w:hint="eastAsia"/>
                <w:color w:val="auto"/>
              </w:rPr>
              <w:t>分，满足其中三项要求的得</w:t>
            </w:r>
            <w:r>
              <w:rPr>
                <w:color w:val="auto"/>
              </w:rPr>
              <w:t>80</w:t>
            </w:r>
            <w:r>
              <w:rPr>
                <w:rFonts w:hint="eastAsia"/>
                <w:color w:val="auto"/>
              </w:rPr>
              <w:t>分，满足其中两项要求的得</w:t>
            </w:r>
            <w:r>
              <w:rPr>
                <w:color w:val="auto"/>
              </w:rPr>
              <w:t>60</w:t>
            </w:r>
            <w:r>
              <w:rPr>
                <w:rFonts w:hint="eastAsia"/>
                <w:color w:val="auto"/>
              </w:rPr>
              <w:t>分，其他情况不得分。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restart"/>
          </w:tcPr>
          <w:p>
            <w:pPr>
              <w:rPr>
                <w:color w:val="auto"/>
              </w:rPr>
            </w:pPr>
            <w:r>
              <w:rPr>
                <w:rFonts w:hint="eastAsia"/>
                <w:color w:val="auto"/>
              </w:rPr>
              <w:t>4</w:t>
            </w:r>
          </w:p>
        </w:tc>
        <w:tc>
          <w:tcPr>
            <w:tcW w:w="1069" w:type="dxa"/>
            <w:vMerge w:val="restart"/>
          </w:tcPr>
          <w:p>
            <w:pPr>
              <w:rPr>
                <w:color w:val="auto"/>
              </w:rPr>
            </w:pPr>
            <w:r>
              <w:rPr>
                <w:rFonts w:hint="eastAsia"/>
                <w:color w:val="auto"/>
              </w:rPr>
              <w:t>服务承诺</w:t>
            </w:r>
          </w:p>
        </w:tc>
        <w:tc>
          <w:tcPr>
            <w:tcW w:w="5651" w:type="dxa"/>
          </w:tcPr>
          <w:p>
            <w:pPr>
              <w:rPr>
                <w:b/>
                <w:bCs/>
                <w:color w:val="auto"/>
              </w:rPr>
            </w:pPr>
            <w:r>
              <w:rPr>
                <w:rFonts w:hint="eastAsia"/>
                <w:b/>
                <w:bCs/>
                <w:color w:val="auto"/>
              </w:rPr>
              <w:t>（一）评审内容：</w:t>
            </w:r>
          </w:p>
        </w:tc>
        <w:tc>
          <w:tcPr>
            <w:tcW w:w="710" w:type="dxa"/>
            <w:vMerge w:val="restart"/>
            <w:vAlign w:val="center"/>
          </w:tcPr>
          <w:p>
            <w:pPr>
              <w:jc w:val="center"/>
              <w:rPr>
                <w:color w:val="auto"/>
              </w:rPr>
            </w:pPr>
            <w:r>
              <w:rPr>
                <w:rFonts w:hint="eastAsia"/>
                <w:color w:val="auto"/>
              </w:rPr>
              <w:t>5</w:t>
            </w:r>
          </w:p>
        </w:tc>
        <w:tc>
          <w:tcPr>
            <w:tcW w:w="711" w:type="dxa"/>
            <w:vMerge w:val="restart"/>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 xml:space="preserve">投标人对招标文件要求作出达标承诺： </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noWrap/>
          </w:tcPr>
          <w:p>
            <w:pPr>
              <w:rPr>
                <w:rFonts w:hint="eastAsia" w:eastAsia="宋体"/>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）提供每日报名考生的统计数据和人力资源分析，对报考人数不满足开考要求的岗位加强宣传推广。</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noWrap/>
          </w:tcPr>
          <w:p>
            <w:pPr>
              <w:rPr>
                <w:color w:val="auto"/>
              </w:rPr>
            </w:pPr>
            <w:r>
              <w:rPr>
                <w:rFonts w:hint="eastAsia"/>
                <w:color w:val="auto"/>
              </w:rPr>
              <w:t>（</w:t>
            </w:r>
            <w:r>
              <w:rPr>
                <w:rFonts w:hint="eastAsia"/>
                <w:color w:val="auto"/>
                <w:lang w:val="en-US" w:eastAsia="zh-CN"/>
              </w:rPr>
              <w:t>2</w:t>
            </w:r>
            <w:r>
              <w:rPr>
                <w:rFonts w:hint="eastAsia"/>
                <w:color w:val="auto"/>
              </w:rPr>
              <w:t xml:space="preserve">）笔试系统可以满足1万人以上用户同时登录使用。     </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noWrap/>
          </w:tcPr>
          <w:p>
            <w:pPr>
              <w:rPr>
                <w:color w:val="auto"/>
              </w:rPr>
            </w:pPr>
            <w:r>
              <w:rPr>
                <w:rFonts w:hint="eastAsia"/>
                <w:color w:val="auto"/>
              </w:rPr>
              <w:t>（</w:t>
            </w:r>
            <w:r>
              <w:rPr>
                <w:rFonts w:hint="eastAsia"/>
                <w:color w:val="auto"/>
                <w:lang w:val="en-US" w:eastAsia="zh-CN"/>
              </w:rPr>
              <w:t>3</w:t>
            </w:r>
            <w:r>
              <w:rPr>
                <w:rFonts w:hint="eastAsia"/>
                <w:color w:val="auto"/>
              </w:rPr>
              <w:t>）提供24小时客服支持，确保报名和笔试系统正常运行及紧急情况处理。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noWrap/>
          </w:tcPr>
          <w:p>
            <w:pPr>
              <w:rPr>
                <w:rFonts w:hint="eastAsia"/>
                <w:color w:val="auto"/>
              </w:rPr>
            </w:pPr>
            <w:r>
              <w:rPr>
                <w:rFonts w:hint="eastAsia"/>
                <w:color w:val="auto"/>
                <w:lang w:eastAsia="zh-CN"/>
              </w:rPr>
              <w:t>（</w:t>
            </w:r>
            <w:r>
              <w:rPr>
                <w:rFonts w:hint="eastAsia"/>
                <w:color w:val="auto"/>
                <w:lang w:val="en-US" w:eastAsia="zh-CN"/>
              </w:rPr>
              <w:t>4）</w:t>
            </w:r>
            <w:r>
              <w:rPr>
                <w:rFonts w:hint="eastAsia"/>
                <w:color w:val="auto"/>
              </w:rPr>
              <w:t>本项目工作人员上岗前须签订保密承诺书和廉洁承诺书，格式自拟。</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b/>
                <w:bCs/>
                <w:color w:val="auto"/>
              </w:rPr>
            </w:pPr>
            <w:r>
              <w:rPr>
                <w:rFonts w:hint="eastAsia"/>
                <w:b/>
                <w:bCs/>
                <w:color w:val="auto"/>
              </w:rPr>
              <w:t>（二）评分依据：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提供涵盖以上服务内容的质量保证承诺函（格式自拟），承诺以上全部的得100分，未提供承诺或承诺内容不满足要求的不得分。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tcPr>
          <w:p>
            <w:pPr>
              <w:rPr>
                <w:color w:val="auto"/>
              </w:rPr>
            </w:pPr>
            <w:r>
              <w:rPr>
                <w:rFonts w:hint="eastAsia"/>
                <w:color w:val="auto"/>
              </w:rPr>
              <w:t>5</w:t>
            </w:r>
          </w:p>
        </w:tc>
        <w:tc>
          <w:tcPr>
            <w:tcW w:w="1069" w:type="dxa"/>
          </w:tcPr>
          <w:p>
            <w:pPr>
              <w:rPr>
                <w:color w:val="auto"/>
              </w:rPr>
            </w:pPr>
            <w:r>
              <w:rPr>
                <w:rFonts w:hint="eastAsia"/>
                <w:color w:val="auto"/>
              </w:rPr>
              <w:t>违约承诺</w:t>
            </w:r>
          </w:p>
        </w:tc>
        <w:tc>
          <w:tcPr>
            <w:tcW w:w="5651" w:type="dxa"/>
          </w:tcPr>
          <w:p>
            <w:pPr>
              <w:rPr>
                <w:color w:val="auto"/>
              </w:rPr>
            </w:pPr>
            <w:r>
              <w:rPr>
                <w:rFonts w:hint="eastAsia"/>
                <w:color w:val="auto"/>
              </w:rPr>
              <w:t>针对项目实施及后续服务过程中可能出现的违约情形进行预判，并提出合理、具体的违约承诺。有违约承诺得</w:t>
            </w:r>
            <w:r>
              <w:rPr>
                <w:rFonts w:hint="eastAsia"/>
                <w:color w:val="auto"/>
                <w:lang w:val="en-US" w:eastAsia="zh-CN"/>
              </w:rPr>
              <w:t>100</w:t>
            </w:r>
            <w:r>
              <w:rPr>
                <w:rFonts w:hint="eastAsia"/>
                <w:color w:val="auto"/>
              </w:rPr>
              <w:t>分，无违约承诺不得分。</w:t>
            </w:r>
          </w:p>
        </w:tc>
        <w:tc>
          <w:tcPr>
            <w:tcW w:w="710" w:type="dxa"/>
            <w:vAlign w:val="center"/>
          </w:tcPr>
          <w:p>
            <w:pPr>
              <w:jc w:val="center"/>
              <w:rPr>
                <w:color w:val="auto"/>
              </w:rPr>
            </w:pPr>
            <w:r>
              <w:rPr>
                <w:rFonts w:hint="eastAsia"/>
                <w:color w:val="auto"/>
              </w:rPr>
              <w:t>5</w:t>
            </w:r>
          </w:p>
        </w:tc>
        <w:tc>
          <w:tcPr>
            <w:tcW w:w="711" w:type="dxa"/>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Align w:val="top"/>
          </w:tcPr>
          <w:p>
            <w:pPr>
              <w:rPr>
                <w:color w:val="auto"/>
              </w:rPr>
            </w:pPr>
            <w:r>
              <w:rPr>
                <w:rFonts w:hint="eastAsia"/>
                <w:b/>
                <w:bCs/>
                <w:color w:val="auto"/>
              </w:rPr>
              <w:t>二</w:t>
            </w:r>
          </w:p>
        </w:tc>
        <w:tc>
          <w:tcPr>
            <w:tcW w:w="8141" w:type="dxa"/>
            <w:gridSpan w:val="4"/>
            <w:vAlign w:val="center"/>
          </w:tcPr>
          <w:p>
            <w:pPr>
              <w:jc w:val="center"/>
              <w:rPr>
                <w:color w:val="auto"/>
              </w:rPr>
            </w:pPr>
            <w:r>
              <w:rPr>
                <w:rFonts w:hint="eastAsia"/>
                <w:b/>
                <w:bCs/>
                <w:color w:val="auto"/>
              </w:rPr>
              <w:t>商务部分（55分）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8" w:type="dxa"/>
            <w:vMerge w:val="restart"/>
          </w:tcPr>
          <w:p>
            <w:pPr>
              <w:rPr>
                <w:color w:val="auto"/>
              </w:rPr>
            </w:pPr>
            <w:r>
              <w:rPr>
                <w:rFonts w:hint="eastAsia"/>
                <w:color w:val="auto"/>
              </w:rPr>
              <w:t>1</w:t>
            </w:r>
          </w:p>
        </w:tc>
        <w:tc>
          <w:tcPr>
            <w:tcW w:w="1069" w:type="dxa"/>
            <w:vMerge w:val="restart"/>
          </w:tcPr>
          <w:p>
            <w:pPr>
              <w:rPr>
                <w:color w:val="auto"/>
              </w:rPr>
            </w:pPr>
            <w:r>
              <w:rPr>
                <w:rFonts w:hint="eastAsia"/>
                <w:color w:val="auto"/>
              </w:rPr>
              <w:t>同类业绩</w:t>
            </w:r>
          </w:p>
        </w:tc>
        <w:tc>
          <w:tcPr>
            <w:tcW w:w="5651" w:type="dxa"/>
          </w:tcPr>
          <w:p>
            <w:pPr>
              <w:rPr>
                <w:color w:val="auto"/>
              </w:rPr>
            </w:pPr>
            <w:r>
              <w:rPr>
                <w:rFonts w:hint="eastAsia"/>
                <w:color w:val="auto"/>
              </w:rPr>
              <w:t>投标人或投标人在深圳有合法注册的分公司自2020年1月1日起至本项目投标截止日止（以合同签订时间为准），</w:t>
            </w:r>
            <w:r>
              <w:rPr>
                <w:rFonts w:hint="eastAsia"/>
                <w:color w:val="auto"/>
                <w:highlight w:val="none"/>
              </w:rPr>
              <w:t>有承接政府或国企在线</w:t>
            </w:r>
            <w:r>
              <w:rPr>
                <w:rFonts w:hint="eastAsia"/>
                <w:color w:val="auto"/>
                <w:highlight w:val="none"/>
                <w:lang w:eastAsia="zh-CN"/>
              </w:rPr>
              <w:t>招聘</w:t>
            </w:r>
            <w:r>
              <w:rPr>
                <w:rFonts w:hint="eastAsia"/>
                <w:color w:val="auto"/>
                <w:highlight w:val="none"/>
              </w:rPr>
              <w:t>服务相关的同类项目业绩，</w:t>
            </w:r>
            <w:r>
              <w:rPr>
                <w:rFonts w:hint="eastAsia"/>
                <w:color w:val="auto"/>
                <w:highlight w:val="none"/>
                <w:lang w:eastAsia="zh-CN"/>
              </w:rPr>
              <w:t>每提供</w:t>
            </w:r>
            <w:r>
              <w:rPr>
                <w:rFonts w:hint="eastAsia"/>
                <w:color w:val="auto"/>
                <w:highlight w:val="none"/>
                <w:lang w:val="en-US" w:eastAsia="zh-CN"/>
              </w:rPr>
              <w:t>1项得20分，</w:t>
            </w:r>
            <w:r>
              <w:rPr>
                <w:rFonts w:hint="eastAsia" w:eastAsia="宋体"/>
                <w:color w:val="auto"/>
                <w:highlight w:val="none"/>
                <w:lang w:eastAsia="zh-CN"/>
              </w:rPr>
              <w:t>最高得分</w:t>
            </w:r>
            <w:r>
              <w:rPr>
                <w:rFonts w:hint="eastAsia" w:eastAsia="宋体"/>
                <w:color w:val="auto"/>
                <w:highlight w:val="none"/>
                <w:lang w:val="en-US" w:eastAsia="zh-CN"/>
              </w:rPr>
              <w:t>100分</w:t>
            </w:r>
            <w:r>
              <w:rPr>
                <w:rFonts w:hint="eastAsia" w:eastAsia="宋体"/>
                <w:color w:val="auto"/>
                <w:highlight w:val="none"/>
              </w:rPr>
              <w:t>。</w:t>
            </w:r>
          </w:p>
        </w:tc>
        <w:tc>
          <w:tcPr>
            <w:tcW w:w="710" w:type="dxa"/>
            <w:vMerge w:val="restart"/>
            <w:vAlign w:val="center"/>
          </w:tcPr>
          <w:p>
            <w:pPr>
              <w:jc w:val="center"/>
              <w:rPr>
                <w:color w:val="auto"/>
              </w:rPr>
            </w:pPr>
            <w:r>
              <w:rPr>
                <w:rFonts w:hint="eastAsia"/>
                <w:color w:val="auto"/>
                <w:lang w:val="en-US" w:eastAsia="zh-CN"/>
              </w:rPr>
              <w:t>1</w:t>
            </w:r>
            <w:r>
              <w:rPr>
                <w:rFonts w:hint="eastAsia"/>
                <w:color w:val="auto"/>
              </w:rPr>
              <w:t>0</w:t>
            </w:r>
          </w:p>
        </w:tc>
        <w:tc>
          <w:tcPr>
            <w:tcW w:w="711" w:type="dxa"/>
            <w:vMerge w:val="restart"/>
            <w:vAlign w:val="center"/>
          </w:tcPr>
          <w:p>
            <w:pPr>
              <w:jc w:val="center"/>
              <w:rPr>
                <w:color w:val="auto"/>
              </w:rPr>
            </w:pPr>
            <w:r>
              <w:rPr>
                <w:rFonts w:hint="eastAsia"/>
                <w:color w:val="auto"/>
                <w:lang w:val="en-US" w:eastAsia="zh-CN"/>
              </w:rPr>
              <w:t>1</w:t>
            </w: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提供合同关键页复印件，否则不得分；无证明材料一律做不得分处理。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8" w:type="dxa"/>
            <w:vMerge w:val="restart"/>
          </w:tcPr>
          <w:p>
            <w:pPr>
              <w:rPr>
                <w:rFonts w:hint="eastAsia" w:eastAsia="宋体"/>
                <w:color w:val="auto"/>
                <w:lang w:eastAsia="zh-CN"/>
              </w:rPr>
            </w:pPr>
            <w:r>
              <w:rPr>
                <w:rFonts w:hint="eastAsia"/>
                <w:color w:val="auto"/>
                <w:lang w:val="en-US" w:eastAsia="zh-CN"/>
              </w:rPr>
              <w:t>2</w:t>
            </w:r>
          </w:p>
        </w:tc>
        <w:tc>
          <w:tcPr>
            <w:tcW w:w="1069" w:type="dxa"/>
            <w:vMerge w:val="restart"/>
          </w:tcPr>
          <w:p>
            <w:pPr>
              <w:rPr>
                <w:color w:val="auto"/>
              </w:rPr>
            </w:pPr>
            <w:r>
              <w:rPr>
                <w:rFonts w:hint="eastAsia"/>
                <w:color w:val="auto"/>
              </w:rPr>
              <w:t>拟安排的项目负责人情况</w:t>
            </w:r>
          </w:p>
        </w:tc>
        <w:tc>
          <w:tcPr>
            <w:tcW w:w="5651" w:type="dxa"/>
          </w:tcPr>
          <w:p>
            <w:pPr>
              <w:rPr>
                <w:color w:val="auto"/>
              </w:rPr>
            </w:pPr>
            <w:r>
              <w:rPr>
                <w:rFonts w:hint="eastAsia"/>
                <w:color w:val="auto"/>
              </w:rPr>
              <w:t>拟安排的项目负责人为投标人在职员工（提供社保证明材料），否则本项不得分；并具有：</w:t>
            </w:r>
          </w:p>
        </w:tc>
        <w:tc>
          <w:tcPr>
            <w:tcW w:w="710" w:type="dxa"/>
            <w:vMerge w:val="restart"/>
            <w:vAlign w:val="center"/>
          </w:tcPr>
          <w:p>
            <w:pPr>
              <w:jc w:val="center"/>
              <w:rPr>
                <w:rFonts w:hint="default" w:eastAsia="宋体"/>
                <w:color w:val="auto"/>
                <w:lang w:val="en-US" w:eastAsia="zh-CN"/>
              </w:rPr>
            </w:pPr>
            <w:r>
              <w:rPr>
                <w:rFonts w:hint="eastAsia"/>
                <w:color w:val="auto"/>
                <w:lang w:val="en-US" w:eastAsia="zh-CN"/>
              </w:rPr>
              <w:t>10</w:t>
            </w:r>
          </w:p>
        </w:tc>
        <w:tc>
          <w:tcPr>
            <w:tcW w:w="711" w:type="dxa"/>
            <w:vMerge w:val="restart"/>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highlight w:val="none"/>
              </w:rPr>
            </w:pPr>
            <w:r>
              <w:rPr>
                <w:rFonts w:hint="eastAsia"/>
                <w:color w:val="auto"/>
                <w:highlight w:val="none"/>
              </w:rPr>
              <w:t>1.</w:t>
            </w:r>
            <w:r>
              <w:rPr>
                <w:rFonts w:hint="eastAsia"/>
                <w:color w:val="auto"/>
                <w:highlight w:val="none"/>
                <w:lang w:eastAsia="zh-CN"/>
              </w:rPr>
              <w:t>本科</w:t>
            </w:r>
            <w:r>
              <w:rPr>
                <w:rFonts w:hint="eastAsia"/>
                <w:color w:val="auto"/>
                <w:highlight w:val="none"/>
              </w:rPr>
              <w:t>或以上学历；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highlight w:val="none"/>
              </w:rPr>
            </w:pPr>
            <w:r>
              <w:rPr>
                <w:rFonts w:hint="eastAsia"/>
                <w:color w:val="auto"/>
                <w:highlight w:val="none"/>
              </w:rPr>
              <w:t>2.参与过两个或以上政府或国企在线笔试服务项目。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以上</w:t>
            </w:r>
            <w:r>
              <w:rPr>
                <w:rFonts w:hint="eastAsia"/>
                <w:color w:val="auto"/>
                <w:lang w:val="en-US" w:eastAsia="zh-CN"/>
              </w:rPr>
              <w:t>2</w:t>
            </w:r>
            <w:r>
              <w:rPr>
                <w:rFonts w:hint="eastAsia"/>
                <w:color w:val="auto"/>
              </w:rPr>
              <w:t>项同时满足得</w:t>
            </w:r>
            <w:r>
              <w:rPr>
                <w:rFonts w:hint="eastAsia"/>
                <w:color w:val="auto"/>
                <w:lang w:val="en-US" w:eastAsia="zh-CN"/>
              </w:rPr>
              <w:t>100</w:t>
            </w:r>
            <w:r>
              <w:rPr>
                <w:rFonts w:hint="eastAsia"/>
                <w:color w:val="auto"/>
              </w:rPr>
              <w:t>分，否则不得分。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评分依据：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1.要求提供投标人项目负责人学历证书、近三个月（以开标时间为准，最近一个月无法提供可往前顺延一个月）社保证明作为得分依据。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2.以上资料均要求提供复印件或扫描件（或官方网站截图），原件备查。评分中出现无证明资料或专家无法凭所提供资料判断是否得分的情况，一律作不得分处理。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lang w:val="en"/>
              </w:rPr>
              <w:t>3.社保证明资料可为社保收缴部门盖章证明资料、社保窗口打印资料或社保官网截图。</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lang w:val="en"/>
              </w:rPr>
              <w:t>4.如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restart"/>
          </w:tcPr>
          <w:p>
            <w:pPr>
              <w:rPr>
                <w:rFonts w:hint="eastAsia" w:eastAsia="宋体"/>
                <w:color w:val="auto"/>
                <w:lang w:eastAsia="zh-CN"/>
              </w:rPr>
            </w:pPr>
            <w:r>
              <w:rPr>
                <w:rFonts w:hint="eastAsia"/>
                <w:color w:val="auto"/>
                <w:lang w:val="en-US" w:eastAsia="zh-CN"/>
              </w:rPr>
              <w:t>3</w:t>
            </w:r>
          </w:p>
        </w:tc>
        <w:tc>
          <w:tcPr>
            <w:tcW w:w="1069" w:type="dxa"/>
            <w:vMerge w:val="restart"/>
          </w:tcPr>
          <w:p>
            <w:pPr>
              <w:rPr>
                <w:color w:val="auto"/>
              </w:rPr>
            </w:pPr>
            <w:r>
              <w:rPr>
                <w:rFonts w:hint="eastAsia"/>
                <w:color w:val="auto"/>
              </w:rPr>
              <w:t>拟安排的项目主要团队成员情况（项目负责人除外）</w:t>
            </w:r>
          </w:p>
        </w:tc>
        <w:tc>
          <w:tcPr>
            <w:tcW w:w="5651" w:type="dxa"/>
          </w:tcPr>
          <w:p>
            <w:pPr>
              <w:rPr>
                <w:color w:val="auto"/>
              </w:rPr>
            </w:pPr>
            <w:r>
              <w:rPr>
                <w:rFonts w:hint="eastAsia"/>
                <w:color w:val="auto"/>
              </w:rPr>
              <w:t>拟安排的项目主要团队成员不少于3名且为投标人在职员工（提供社保证明材料），否则本项不得分；并具有：</w:t>
            </w:r>
          </w:p>
        </w:tc>
        <w:tc>
          <w:tcPr>
            <w:tcW w:w="710" w:type="dxa"/>
            <w:vMerge w:val="restart"/>
            <w:vAlign w:val="center"/>
          </w:tcPr>
          <w:p>
            <w:pPr>
              <w:jc w:val="center"/>
              <w:rPr>
                <w:rFonts w:hint="default" w:eastAsia="宋体"/>
                <w:color w:val="auto"/>
                <w:lang w:val="en-US" w:eastAsia="zh-CN"/>
              </w:rPr>
            </w:pPr>
            <w:r>
              <w:rPr>
                <w:rFonts w:hint="eastAsia"/>
                <w:color w:val="auto"/>
                <w:lang w:val="en-US" w:eastAsia="zh-CN"/>
              </w:rPr>
              <w:t>10</w:t>
            </w:r>
          </w:p>
        </w:tc>
        <w:tc>
          <w:tcPr>
            <w:tcW w:w="711" w:type="dxa"/>
            <w:vMerge w:val="restart"/>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highlight w:val="none"/>
              </w:rPr>
            </w:pPr>
            <w:r>
              <w:rPr>
                <w:rFonts w:hint="eastAsia"/>
                <w:color w:val="auto"/>
                <w:highlight w:val="none"/>
              </w:rPr>
              <w:t>1.本科或以上学历，每提供1人得20分，本小项最高50分；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highlight w:val="none"/>
              </w:rPr>
            </w:pPr>
            <w:r>
              <w:rPr>
                <w:rFonts w:hint="eastAsia"/>
                <w:color w:val="auto"/>
                <w:highlight w:val="none"/>
              </w:rPr>
              <w:t>2.参与过政府或国企在线笔试服务项目，每提供1人得20分，本小项最高得50分。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以上</w:t>
            </w:r>
            <w:r>
              <w:rPr>
                <w:rFonts w:hint="eastAsia"/>
                <w:color w:val="auto"/>
                <w:lang w:val="en-US" w:eastAsia="zh-CN"/>
              </w:rPr>
              <w:t>2</w:t>
            </w:r>
            <w:r>
              <w:rPr>
                <w:rFonts w:hint="eastAsia"/>
                <w:color w:val="auto"/>
              </w:rPr>
              <w:t>项最高得100分。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评分依据：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1.要求提供投标人项目主要团队成员的学历证书、近三个月（以开标时间为准，最近一个月无法提供可往前顺延一个月）的社保证明及相关证明资料作为得分依据。</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2.以上资料均要求提供复印件或扫描件（或官方网站截图），原件备查。评分中出现无证明资料或专家无法凭所提供资料判断是否得分的情况，一律作不得分处理。</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3.社保证明资料可为社保收缴部门盖章证明资料、社保窗口打印资料或社保官网截图。</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4.如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18" w:type="dxa"/>
          </w:tcPr>
          <w:p>
            <w:pPr>
              <w:rPr>
                <w:rFonts w:hint="eastAsia" w:eastAsia="宋体"/>
                <w:color w:val="auto"/>
                <w:lang w:eastAsia="zh-CN"/>
              </w:rPr>
            </w:pPr>
            <w:r>
              <w:rPr>
                <w:rFonts w:hint="eastAsia"/>
                <w:color w:val="auto"/>
                <w:lang w:val="en-US" w:eastAsia="zh-CN"/>
              </w:rPr>
              <w:t>4</w:t>
            </w:r>
          </w:p>
        </w:tc>
        <w:tc>
          <w:tcPr>
            <w:tcW w:w="1069" w:type="dxa"/>
          </w:tcPr>
          <w:p>
            <w:pPr>
              <w:rPr>
                <w:color w:val="auto"/>
              </w:rPr>
            </w:pPr>
            <w:r>
              <w:rPr>
                <w:rFonts w:hint="eastAsia"/>
                <w:color w:val="auto"/>
              </w:rPr>
              <w:t>信息系统安全等级</w:t>
            </w:r>
          </w:p>
        </w:tc>
        <w:tc>
          <w:tcPr>
            <w:tcW w:w="5651" w:type="dxa"/>
          </w:tcPr>
          <w:p>
            <w:pPr>
              <w:rPr>
                <w:color w:val="auto"/>
              </w:rPr>
            </w:pPr>
            <w:r>
              <w:rPr>
                <w:rFonts w:hint="eastAsia"/>
                <w:color w:val="auto"/>
              </w:rPr>
              <w:t>投标人</w:t>
            </w:r>
            <w:r>
              <w:rPr>
                <w:rFonts w:hint="eastAsia"/>
                <w:color w:val="auto"/>
                <w:lang w:eastAsia="zh-CN"/>
              </w:rPr>
              <w:t>应标使用</w:t>
            </w:r>
            <w:r>
              <w:rPr>
                <w:rFonts w:hint="eastAsia"/>
                <w:color w:val="auto"/>
              </w:rPr>
              <w:t>的在线</w:t>
            </w:r>
            <w:r>
              <w:rPr>
                <w:rFonts w:hint="eastAsia"/>
                <w:color w:val="auto"/>
                <w:lang w:eastAsia="zh-CN"/>
              </w:rPr>
              <w:t>报名和</w:t>
            </w:r>
            <w:r>
              <w:rPr>
                <w:rFonts w:hint="eastAsia"/>
                <w:color w:val="auto"/>
              </w:rPr>
              <w:t>在线笔试系统具有公安机关备案的信息系统安全等级保护备案证明的，得</w:t>
            </w:r>
            <w:r>
              <w:rPr>
                <w:rFonts w:hint="eastAsia"/>
                <w:color w:val="auto"/>
                <w:lang w:val="en-US" w:eastAsia="zh-CN"/>
              </w:rPr>
              <w:t>100</w:t>
            </w:r>
            <w:r>
              <w:rPr>
                <w:rFonts w:hint="eastAsia"/>
                <w:color w:val="auto"/>
              </w:rPr>
              <w:t>分，否则不得分。提供证明材料，未提供证明材料的不得分。</w:t>
            </w:r>
          </w:p>
        </w:tc>
        <w:tc>
          <w:tcPr>
            <w:tcW w:w="710" w:type="dxa"/>
            <w:vAlign w:val="center"/>
          </w:tcPr>
          <w:p>
            <w:pPr>
              <w:jc w:val="center"/>
              <w:rPr>
                <w:rFonts w:hint="default" w:eastAsia="宋体"/>
                <w:color w:val="auto"/>
                <w:lang w:val="en-US" w:eastAsia="zh-CN"/>
              </w:rPr>
            </w:pPr>
            <w:r>
              <w:rPr>
                <w:rFonts w:hint="eastAsia"/>
                <w:color w:val="auto"/>
                <w:lang w:val="en-US" w:eastAsia="zh-CN"/>
              </w:rPr>
              <w:t>5</w:t>
            </w:r>
          </w:p>
        </w:tc>
        <w:tc>
          <w:tcPr>
            <w:tcW w:w="711" w:type="dxa"/>
            <w:vAlign w:val="center"/>
          </w:tcPr>
          <w:p>
            <w:pPr>
              <w:jc w:val="center"/>
              <w:rPr>
                <w:rFonts w:hint="default"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restart"/>
          </w:tcPr>
          <w:p>
            <w:pPr>
              <w:rPr>
                <w:rFonts w:hint="eastAsia" w:eastAsia="宋体"/>
                <w:color w:val="auto"/>
                <w:lang w:eastAsia="zh-CN"/>
              </w:rPr>
            </w:pPr>
            <w:r>
              <w:rPr>
                <w:rFonts w:hint="eastAsia"/>
                <w:color w:val="auto"/>
                <w:lang w:val="en-US" w:eastAsia="zh-CN"/>
              </w:rPr>
              <w:t>5</w:t>
            </w:r>
          </w:p>
        </w:tc>
        <w:tc>
          <w:tcPr>
            <w:tcW w:w="1069" w:type="dxa"/>
            <w:vMerge w:val="restart"/>
          </w:tcPr>
          <w:p>
            <w:pPr>
              <w:rPr>
                <w:color w:val="auto"/>
              </w:rPr>
            </w:pPr>
            <w:r>
              <w:rPr>
                <w:rFonts w:hint="eastAsia"/>
                <w:color w:val="auto"/>
              </w:rPr>
              <w:t>服务网点</w:t>
            </w:r>
          </w:p>
        </w:tc>
        <w:tc>
          <w:tcPr>
            <w:tcW w:w="5651" w:type="dxa"/>
          </w:tcPr>
          <w:p>
            <w:pPr>
              <w:rPr>
                <w:color w:val="auto"/>
              </w:rPr>
            </w:pPr>
            <w:r>
              <w:rPr>
                <w:rFonts w:hint="eastAsia"/>
                <w:color w:val="auto"/>
              </w:rPr>
              <w:t>1、深圳供应商，或非深圳供应商但在深圳有合法注册的分公司（或售后机构），得</w:t>
            </w:r>
            <w:r>
              <w:rPr>
                <w:rFonts w:hint="eastAsia"/>
                <w:color w:val="auto"/>
                <w:lang w:val="en-US" w:eastAsia="zh-CN"/>
              </w:rPr>
              <w:t>100</w:t>
            </w:r>
            <w:r>
              <w:rPr>
                <w:rFonts w:hint="eastAsia"/>
                <w:color w:val="auto"/>
              </w:rPr>
              <w:t>分；</w:t>
            </w:r>
          </w:p>
        </w:tc>
        <w:tc>
          <w:tcPr>
            <w:tcW w:w="710" w:type="dxa"/>
            <w:vMerge w:val="restart"/>
            <w:vAlign w:val="center"/>
          </w:tcPr>
          <w:p>
            <w:pPr>
              <w:jc w:val="center"/>
              <w:rPr>
                <w:rFonts w:hint="default" w:eastAsia="宋体"/>
                <w:color w:val="auto"/>
                <w:lang w:val="en-US" w:eastAsia="zh-CN"/>
              </w:rPr>
            </w:pPr>
            <w:r>
              <w:rPr>
                <w:rFonts w:hint="eastAsia"/>
                <w:color w:val="auto"/>
                <w:lang w:val="en-US" w:eastAsia="zh-CN"/>
              </w:rPr>
              <w:t>10</w:t>
            </w:r>
          </w:p>
        </w:tc>
        <w:tc>
          <w:tcPr>
            <w:tcW w:w="711" w:type="dxa"/>
            <w:vMerge w:val="restart"/>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2、非深圳供应商提供中标后设立本地经营（服务）网点承诺（格式自拟），得</w:t>
            </w:r>
            <w:r>
              <w:rPr>
                <w:rFonts w:hint="eastAsia"/>
                <w:color w:val="auto"/>
                <w:lang w:val="en-US" w:eastAsia="zh-CN"/>
              </w:rPr>
              <w:t>50</w:t>
            </w:r>
            <w:r>
              <w:rPr>
                <w:rFonts w:hint="eastAsia"/>
                <w:color w:val="auto"/>
              </w:rPr>
              <w:t>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备注：分公司的必须提供分公司营业执照扫描件或复印件，售后机构必须同时提供售后服务合作协议及售后机构营业执照扫描件作为得分依据，原件备查。未提供证明材料不得分。</w:t>
            </w:r>
          </w:p>
        </w:tc>
        <w:tc>
          <w:tcPr>
            <w:tcW w:w="710" w:type="dxa"/>
            <w:vMerge w:val="continue"/>
            <w:vAlign w:val="center"/>
          </w:tcPr>
          <w:p>
            <w:pPr>
              <w:jc w:val="center"/>
              <w:rPr>
                <w:color w:val="auto"/>
              </w:rPr>
            </w:pPr>
          </w:p>
        </w:tc>
        <w:tc>
          <w:tcPr>
            <w:tcW w:w="711"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tcPr>
          <w:p>
            <w:pPr>
              <w:rPr>
                <w:b/>
                <w:bCs/>
                <w:color w:val="auto"/>
              </w:rPr>
            </w:pPr>
            <w:r>
              <w:rPr>
                <w:rFonts w:hint="eastAsia"/>
                <w:b/>
                <w:bCs/>
                <w:color w:val="auto"/>
              </w:rPr>
              <w:t>三</w:t>
            </w:r>
          </w:p>
        </w:tc>
        <w:tc>
          <w:tcPr>
            <w:tcW w:w="8141" w:type="dxa"/>
            <w:gridSpan w:val="4"/>
            <w:vAlign w:val="center"/>
          </w:tcPr>
          <w:p>
            <w:pPr>
              <w:jc w:val="center"/>
              <w:rPr>
                <w:b/>
                <w:bCs/>
                <w:color w:val="auto"/>
              </w:rPr>
            </w:pPr>
            <w:r>
              <w:rPr>
                <w:rFonts w:hint="eastAsia"/>
                <w:b/>
                <w:bCs/>
                <w:color w:val="auto"/>
              </w:rPr>
              <w:t>价格部分（10分）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Merge w:val="restart"/>
          </w:tcPr>
          <w:p>
            <w:pPr>
              <w:rPr>
                <w:color w:val="auto"/>
              </w:rPr>
            </w:pPr>
            <w:r>
              <w:rPr>
                <w:rFonts w:hint="eastAsia"/>
                <w:color w:val="auto"/>
              </w:rPr>
              <w:t>1</w:t>
            </w:r>
          </w:p>
        </w:tc>
        <w:tc>
          <w:tcPr>
            <w:tcW w:w="1069" w:type="dxa"/>
            <w:vMerge w:val="restart"/>
          </w:tcPr>
          <w:p>
            <w:pPr>
              <w:rPr>
                <w:color w:val="auto"/>
              </w:rPr>
            </w:pPr>
            <w:r>
              <w:rPr>
                <w:rFonts w:hint="eastAsia"/>
                <w:color w:val="auto"/>
              </w:rPr>
              <w:t>投标报价</w:t>
            </w:r>
          </w:p>
        </w:tc>
        <w:tc>
          <w:tcPr>
            <w:tcW w:w="5651" w:type="dxa"/>
          </w:tcPr>
          <w:p>
            <w:pPr>
              <w:rPr>
                <w:color w:val="auto"/>
              </w:rPr>
            </w:pPr>
            <w:r>
              <w:rPr>
                <w:rFonts w:hint="eastAsia"/>
                <w:color w:val="auto"/>
              </w:rPr>
              <w:t>价格分应当采用低价优先法计算，即满足招标文件要求且投标价格最低的投标报价为评标基准价，其价格分为满分。其他投标人的价格分统一按照下列公式计算：</w:t>
            </w:r>
          </w:p>
        </w:tc>
        <w:tc>
          <w:tcPr>
            <w:tcW w:w="710" w:type="dxa"/>
            <w:vMerge w:val="restart"/>
            <w:vAlign w:val="center"/>
          </w:tcPr>
          <w:p>
            <w:pPr>
              <w:jc w:val="center"/>
              <w:rPr>
                <w:rFonts w:hint="default" w:eastAsia="宋体"/>
                <w:color w:val="auto"/>
                <w:lang w:val="en-US" w:eastAsia="zh-CN"/>
              </w:rPr>
            </w:pPr>
            <w:r>
              <w:rPr>
                <w:rFonts w:hint="eastAsia"/>
                <w:color w:val="auto"/>
                <w:lang w:val="en-US" w:eastAsia="zh-CN"/>
              </w:rPr>
              <w:t>20</w:t>
            </w:r>
          </w:p>
        </w:tc>
        <w:tc>
          <w:tcPr>
            <w:tcW w:w="711" w:type="dxa"/>
            <w:vMerge w:val="restart"/>
            <w:vAlign w:val="center"/>
          </w:tcPr>
          <w:p>
            <w:pPr>
              <w:jc w:val="center"/>
              <w:rPr>
                <w:color w:val="auto"/>
              </w:rPr>
            </w:pPr>
            <w:r>
              <w:rPr>
                <w:rFonts w:hint="eastAsia"/>
                <w:color w:val="auto"/>
                <w:lang w:val="en-US" w:eastAsia="zh-CN"/>
              </w:rPr>
              <w:t>2</w:t>
            </w: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投标报价得分=(评标基准价／投标报价)×100×权重</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8" w:type="dxa"/>
            <w:vMerge w:val="continue"/>
          </w:tcPr>
          <w:p>
            <w:pPr>
              <w:rPr>
                <w:color w:val="auto"/>
              </w:rPr>
            </w:pPr>
          </w:p>
        </w:tc>
        <w:tc>
          <w:tcPr>
            <w:tcW w:w="1069" w:type="dxa"/>
            <w:vMerge w:val="continue"/>
          </w:tcPr>
          <w:p>
            <w:pPr>
              <w:rPr>
                <w:color w:val="auto"/>
              </w:rPr>
            </w:pPr>
          </w:p>
        </w:tc>
        <w:tc>
          <w:tcPr>
            <w:tcW w:w="5651" w:type="dxa"/>
          </w:tcPr>
          <w:p>
            <w:pPr>
              <w:rPr>
                <w:color w:val="auto"/>
              </w:rPr>
            </w:pPr>
            <w:r>
              <w:rPr>
                <w:rFonts w:hint="eastAsia"/>
                <w:color w:val="auto"/>
              </w:rPr>
              <w:t>备注：投标报价得分四舍五入后，小数点后保留两位有效数。</w:t>
            </w:r>
          </w:p>
        </w:tc>
        <w:tc>
          <w:tcPr>
            <w:tcW w:w="710" w:type="dxa"/>
            <w:vMerge w:val="continue"/>
          </w:tcPr>
          <w:p>
            <w:pPr>
              <w:rPr>
                <w:color w:val="auto"/>
              </w:rPr>
            </w:pPr>
          </w:p>
        </w:tc>
        <w:tc>
          <w:tcPr>
            <w:tcW w:w="711"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238" w:type="dxa"/>
            <w:gridSpan w:val="3"/>
          </w:tcPr>
          <w:p>
            <w:pPr>
              <w:rPr>
                <w:color w:val="auto"/>
              </w:rPr>
            </w:pPr>
            <w:r>
              <w:rPr>
                <w:rFonts w:hint="eastAsia"/>
                <w:color w:val="auto"/>
              </w:rPr>
              <w:t>合计</w:t>
            </w:r>
          </w:p>
        </w:tc>
        <w:tc>
          <w:tcPr>
            <w:tcW w:w="710" w:type="dxa"/>
          </w:tcPr>
          <w:p>
            <w:pPr>
              <w:rPr>
                <w:color w:val="auto"/>
              </w:rPr>
            </w:pPr>
            <w:r>
              <w:rPr>
                <w:rFonts w:hint="eastAsia"/>
                <w:color w:val="auto"/>
              </w:rPr>
              <w:t>1</w:t>
            </w:r>
            <w:r>
              <w:rPr>
                <w:color w:val="auto"/>
              </w:rPr>
              <w:t>00</w:t>
            </w:r>
          </w:p>
        </w:tc>
        <w:tc>
          <w:tcPr>
            <w:tcW w:w="711" w:type="dxa"/>
          </w:tcPr>
          <w:p>
            <w:pPr>
              <w:rPr>
                <w:color w:val="auto"/>
              </w:rPr>
            </w:pPr>
            <w:r>
              <w:rPr>
                <w:rFonts w:hint="eastAsia"/>
                <w:color w:val="auto"/>
              </w:rPr>
              <w:t>1</w:t>
            </w:r>
            <w:r>
              <w:rPr>
                <w:color w:val="auto"/>
              </w:rPr>
              <w:t>00</w:t>
            </w:r>
          </w:p>
        </w:tc>
      </w:tr>
    </w:tbl>
    <w:p>
      <w:pPr>
        <w:rPr>
          <w:color w:val="auto"/>
        </w:rPr>
      </w:pPr>
    </w:p>
    <w:p>
      <w:pPr>
        <w:rPr>
          <w:color w:val="auto"/>
        </w:rPr>
      </w:pPr>
    </w:p>
    <w:p>
      <w:pPr>
        <w:pStyle w:val="2"/>
        <w:numPr>
          <w:ilvl w:val="0"/>
          <w:numId w:val="2"/>
        </w:numPr>
        <w:rPr>
          <w:rFonts w:hint="eastAsia"/>
          <w:color w:val="auto"/>
          <w:szCs w:val="32"/>
        </w:rPr>
      </w:pPr>
      <w:bookmarkStart w:id="13" w:name="_Toc518649757"/>
      <w:bookmarkStart w:id="14" w:name="_Toc12495"/>
      <w:r>
        <w:rPr>
          <w:rFonts w:hint="eastAsia"/>
          <w:color w:val="auto"/>
          <w:szCs w:val="32"/>
        </w:rPr>
        <w:t>投标文件的组成</w:t>
      </w:r>
      <w:bookmarkEnd w:id="13"/>
      <w:bookmarkEnd w:id="14"/>
    </w:p>
    <w:p>
      <w:pPr>
        <w:rPr>
          <w:rFonts w:hint="eastAsia"/>
          <w:color w:val="auto"/>
        </w:rPr>
      </w:pPr>
    </w:p>
    <w:p>
      <w:pPr>
        <w:numPr>
          <w:ilvl w:val="0"/>
          <w:numId w:val="0"/>
        </w:numPr>
        <w:rPr>
          <w:color w:val="auto"/>
        </w:rPr>
      </w:pPr>
    </w:p>
    <w:p>
      <w:pPr>
        <w:rPr>
          <w:rFonts w:hint="eastAsia"/>
          <w:color w:val="auto"/>
          <w:sz w:val="28"/>
          <w:szCs w:val="28"/>
        </w:rPr>
      </w:pPr>
      <w:r>
        <w:rPr>
          <w:rFonts w:hint="eastAsia"/>
          <w:color w:val="auto"/>
          <w:sz w:val="28"/>
          <w:szCs w:val="28"/>
        </w:rPr>
        <w:t>1、投标文件封面</w:t>
      </w:r>
    </w:p>
    <w:p>
      <w:pPr>
        <w:rPr>
          <w:rFonts w:hint="eastAsia"/>
          <w:color w:val="auto"/>
          <w:sz w:val="28"/>
          <w:szCs w:val="28"/>
        </w:rPr>
      </w:pPr>
      <w:r>
        <w:rPr>
          <w:rFonts w:hint="eastAsia"/>
          <w:color w:val="auto"/>
          <w:sz w:val="28"/>
          <w:szCs w:val="28"/>
        </w:rPr>
        <w:t>2、法定代表人证明书</w:t>
      </w:r>
    </w:p>
    <w:p>
      <w:pPr>
        <w:rPr>
          <w:rFonts w:hint="eastAsia"/>
          <w:color w:val="auto"/>
          <w:sz w:val="28"/>
          <w:szCs w:val="28"/>
        </w:rPr>
      </w:pPr>
      <w:r>
        <w:rPr>
          <w:rFonts w:hint="eastAsia"/>
          <w:color w:val="auto"/>
          <w:sz w:val="28"/>
          <w:szCs w:val="28"/>
        </w:rPr>
        <w:t>3、投标文件签署授权委托书</w:t>
      </w:r>
    </w:p>
    <w:p>
      <w:pPr>
        <w:rPr>
          <w:rFonts w:hint="eastAsia"/>
          <w:color w:val="auto"/>
          <w:sz w:val="28"/>
          <w:szCs w:val="28"/>
        </w:rPr>
      </w:pPr>
      <w:r>
        <w:rPr>
          <w:rFonts w:hint="eastAsia"/>
          <w:color w:val="auto"/>
          <w:sz w:val="28"/>
          <w:szCs w:val="28"/>
          <w:lang w:val="en-US" w:eastAsia="zh-CN"/>
        </w:rPr>
        <w:t>4</w:t>
      </w:r>
      <w:r>
        <w:rPr>
          <w:rFonts w:hint="eastAsia"/>
          <w:color w:val="auto"/>
          <w:sz w:val="28"/>
          <w:szCs w:val="28"/>
        </w:rPr>
        <w:t>、承诺函</w:t>
      </w:r>
    </w:p>
    <w:p>
      <w:pPr>
        <w:rPr>
          <w:rFonts w:hint="eastAsia"/>
          <w:color w:val="auto"/>
          <w:sz w:val="28"/>
          <w:szCs w:val="28"/>
          <w:lang w:eastAsia="zh-CN"/>
        </w:rPr>
      </w:pPr>
      <w:r>
        <w:rPr>
          <w:rFonts w:hint="eastAsia"/>
          <w:color w:val="auto"/>
          <w:sz w:val="28"/>
          <w:szCs w:val="28"/>
          <w:lang w:val="en-US" w:eastAsia="zh-CN"/>
        </w:rPr>
        <w:t>5</w:t>
      </w:r>
      <w:r>
        <w:rPr>
          <w:rFonts w:hint="eastAsia"/>
          <w:color w:val="auto"/>
          <w:sz w:val="28"/>
          <w:szCs w:val="28"/>
        </w:rPr>
        <w:t>、项目实施方案</w:t>
      </w:r>
      <w:r>
        <w:rPr>
          <w:rFonts w:hint="eastAsia"/>
          <w:color w:val="auto"/>
          <w:sz w:val="28"/>
          <w:szCs w:val="28"/>
          <w:lang w:eastAsia="zh-CN"/>
        </w:rPr>
        <w:t>（</w:t>
      </w:r>
      <w:r>
        <w:rPr>
          <w:rFonts w:hint="eastAsia"/>
          <w:color w:val="auto"/>
          <w:sz w:val="28"/>
          <w:szCs w:val="28"/>
          <w:lang w:val="en-US" w:eastAsia="zh-CN"/>
        </w:rPr>
        <w:t>格式自定</w:t>
      </w:r>
      <w:r>
        <w:rPr>
          <w:rFonts w:hint="eastAsia"/>
          <w:color w:val="auto"/>
          <w:sz w:val="28"/>
          <w:szCs w:val="28"/>
          <w:lang w:eastAsia="zh-CN"/>
        </w:rPr>
        <w:t>）</w:t>
      </w:r>
    </w:p>
    <w:p>
      <w:pPr>
        <w:rPr>
          <w:rFonts w:hint="eastAsia"/>
          <w:color w:val="auto"/>
          <w:sz w:val="28"/>
          <w:szCs w:val="28"/>
        </w:rPr>
      </w:pPr>
      <w:r>
        <w:rPr>
          <w:rFonts w:hint="eastAsia"/>
          <w:color w:val="auto"/>
          <w:sz w:val="28"/>
          <w:szCs w:val="28"/>
          <w:lang w:val="en-US" w:eastAsia="zh-CN"/>
        </w:rPr>
        <w:t>6</w:t>
      </w:r>
      <w:r>
        <w:rPr>
          <w:rFonts w:hint="eastAsia"/>
          <w:color w:val="auto"/>
          <w:sz w:val="28"/>
          <w:szCs w:val="28"/>
        </w:rPr>
        <w:t>、营业执照复印件</w:t>
      </w:r>
    </w:p>
    <w:p>
      <w:pPr>
        <w:widowControl/>
        <w:jc w:val="left"/>
        <w:rPr>
          <w:rFonts w:ascii="Arial" w:hAnsi="Arial"/>
          <w:color w:val="auto"/>
          <w:sz w:val="24"/>
          <w:szCs w:val="22"/>
        </w:rPr>
      </w:pPr>
      <w:r>
        <w:rPr>
          <w:color w:val="auto"/>
        </w:rPr>
        <w:br w:type="page"/>
      </w:r>
    </w:p>
    <w:p>
      <w:pPr>
        <w:pStyle w:val="7"/>
        <w:rPr>
          <w:b/>
          <w:color w:val="auto"/>
          <w:sz w:val="32"/>
          <w:u w:val="single"/>
        </w:rPr>
      </w:pPr>
      <w:r>
        <w:rPr>
          <w:rFonts w:hint="eastAsia"/>
          <w:b/>
          <w:color w:val="auto"/>
          <w:sz w:val="32"/>
        </w:rPr>
        <w:t>项目编号：</w:t>
      </w:r>
    </w:p>
    <w:p>
      <w:pPr>
        <w:pStyle w:val="7"/>
        <w:rPr>
          <w:rFonts w:hAnsi="宋体"/>
          <w:b/>
          <w:bCs/>
          <w:color w:val="auto"/>
          <w:sz w:val="28"/>
          <w:u w:val="single"/>
        </w:rPr>
      </w:pPr>
    </w:p>
    <w:p>
      <w:pPr>
        <w:pStyle w:val="7"/>
        <w:rPr>
          <w:rFonts w:hAnsi="宋体"/>
          <w:b/>
          <w:bCs/>
          <w:color w:val="auto"/>
          <w:sz w:val="28"/>
          <w:u w:val="single"/>
        </w:rPr>
      </w:pPr>
    </w:p>
    <w:p>
      <w:pPr>
        <w:pStyle w:val="7"/>
        <w:rPr>
          <w:rFonts w:hAnsi="宋体"/>
          <w:b/>
          <w:bCs/>
          <w:color w:val="auto"/>
          <w:sz w:val="28"/>
          <w:u w:val="single"/>
        </w:rPr>
      </w:pPr>
    </w:p>
    <w:p>
      <w:pPr>
        <w:pStyle w:val="7"/>
        <w:rPr>
          <w:rFonts w:hAnsi="宋体"/>
          <w:b/>
          <w:bCs/>
          <w:color w:val="auto"/>
          <w:sz w:val="28"/>
          <w:u w:val="single"/>
        </w:rPr>
      </w:pPr>
    </w:p>
    <w:p>
      <w:pPr>
        <w:pStyle w:val="7"/>
        <w:jc w:val="center"/>
        <w:rPr>
          <w:rFonts w:ascii="华文细黑"/>
          <w:b/>
          <w:color w:val="auto"/>
          <w:sz w:val="72"/>
        </w:rPr>
      </w:pPr>
      <w:bookmarkStart w:id="15" w:name="Bookmark42"/>
      <w:r>
        <w:rPr>
          <w:rFonts w:hint="eastAsia" w:ascii="华文细黑"/>
          <w:b/>
          <w:color w:val="auto"/>
          <w:sz w:val="72"/>
        </w:rPr>
        <w:t>投 标 文 件</w:t>
      </w:r>
    </w:p>
    <w:bookmarkEnd w:id="15"/>
    <w:p>
      <w:pPr>
        <w:pStyle w:val="7"/>
        <w:jc w:val="center"/>
        <w:rPr>
          <w:b/>
          <w:color w:val="auto"/>
          <w:sz w:val="72"/>
        </w:rPr>
      </w:pPr>
    </w:p>
    <w:p>
      <w:pPr>
        <w:pStyle w:val="7"/>
        <w:ind w:firstLine="640" w:firstLineChars="200"/>
        <w:rPr>
          <w:color w:val="auto"/>
          <w:sz w:val="32"/>
          <w:u w:val="single"/>
        </w:rPr>
      </w:pPr>
    </w:p>
    <w:p>
      <w:pPr>
        <w:pStyle w:val="7"/>
        <w:ind w:firstLine="640" w:firstLineChars="200"/>
        <w:rPr>
          <w:color w:val="auto"/>
          <w:sz w:val="32"/>
          <w:u w:val="single"/>
        </w:rPr>
      </w:pPr>
    </w:p>
    <w:p>
      <w:pPr>
        <w:pStyle w:val="7"/>
        <w:spacing w:line="780" w:lineRule="auto"/>
        <w:rPr>
          <w:b/>
          <w:color w:val="auto"/>
          <w:sz w:val="32"/>
        </w:rPr>
      </w:pPr>
      <w:r>
        <w:rPr>
          <w:rFonts w:hint="eastAsia"/>
          <w:b/>
          <w:color w:val="auto"/>
          <w:sz w:val="32"/>
        </w:rPr>
        <w:t>项目名称:</w:t>
      </w:r>
    </w:p>
    <w:p>
      <w:pPr>
        <w:pStyle w:val="7"/>
        <w:spacing w:line="780" w:lineRule="auto"/>
        <w:rPr>
          <w:b/>
          <w:color w:val="auto"/>
          <w:sz w:val="32"/>
          <w:u w:val="single"/>
        </w:rPr>
      </w:pPr>
      <w:r>
        <w:rPr>
          <w:rFonts w:hint="eastAsia"/>
          <w:b/>
          <w:color w:val="auto"/>
          <w:sz w:val="32"/>
        </w:rPr>
        <w:t>投标人（盖章）：</w:t>
      </w:r>
    </w:p>
    <w:p>
      <w:pPr>
        <w:pStyle w:val="7"/>
        <w:spacing w:line="780" w:lineRule="auto"/>
        <w:rPr>
          <w:b/>
          <w:color w:val="auto"/>
          <w:sz w:val="32"/>
        </w:rPr>
      </w:pPr>
      <w:r>
        <w:rPr>
          <w:rFonts w:hint="eastAsia"/>
          <w:b/>
          <w:color w:val="auto"/>
          <w:sz w:val="32"/>
        </w:rPr>
        <w:t>投标报价：</w:t>
      </w: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jc w:val="center"/>
        <w:rPr>
          <w:color w:val="auto"/>
        </w:rPr>
      </w:pPr>
      <w:r>
        <w:rPr>
          <w:rFonts w:hint="eastAsia"/>
          <w:b/>
          <w:color w:val="auto"/>
          <w:sz w:val="32"/>
        </w:rPr>
        <w:t>年   月   日</w:t>
      </w:r>
      <w:r>
        <w:rPr>
          <w:b/>
          <w:bCs/>
          <w:color w:val="auto"/>
          <w:sz w:val="32"/>
        </w:rPr>
        <w:br w:type="page"/>
      </w:r>
    </w:p>
    <w:p>
      <w:pPr>
        <w:pStyle w:val="4"/>
        <w:spacing w:before="120" w:after="120"/>
        <w:jc w:val="center"/>
        <w:rPr>
          <w:rFonts w:hAnsi="Times New Roman"/>
          <w:color w:val="auto"/>
          <w:szCs w:val="32"/>
        </w:rPr>
      </w:pPr>
      <w:bookmarkStart w:id="16" w:name="_Toc518649758"/>
      <w:bookmarkStart w:id="17" w:name="_Toc25843"/>
      <w:r>
        <w:rPr>
          <w:rFonts w:hint="eastAsia"/>
          <w:color w:val="auto"/>
          <w:lang w:val="en-US" w:eastAsia="zh-CN"/>
        </w:rPr>
        <w:t>2</w:t>
      </w:r>
      <w:r>
        <w:rPr>
          <w:rFonts w:hint="eastAsia"/>
          <w:color w:val="auto"/>
        </w:rPr>
        <w:t>、法定代表人证明书</w:t>
      </w:r>
      <w:bookmarkEnd w:id="16"/>
      <w:bookmarkEnd w:id="17"/>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同志，现任我单位</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职务，为法定代表人，特此证明。</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有效日期：         签发日期：        单位：           </w:t>
      </w:r>
    </w:p>
    <w:p>
      <w:pPr>
        <w:spacing w:line="560" w:lineRule="exact"/>
        <w:rPr>
          <w:rFonts w:ascii="仿宋_GB2312" w:eastAsia="仿宋_GB2312"/>
          <w:color w:val="auto"/>
          <w:sz w:val="28"/>
          <w:szCs w:val="28"/>
        </w:rPr>
      </w:pPr>
      <w:r>
        <w:rPr>
          <w:rFonts w:hint="eastAsia" w:ascii="仿宋_GB2312" w:eastAsia="仿宋_GB2312"/>
          <w:color w:val="auto"/>
          <w:sz w:val="28"/>
          <w:szCs w:val="28"/>
        </w:rPr>
        <w:t>附：代表人性别：   年龄：            身份证号码：</w:t>
      </w:r>
    </w:p>
    <w:p>
      <w:pPr>
        <w:spacing w:line="560" w:lineRule="exact"/>
        <w:rPr>
          <w:rFonts w:ascii="仿宋_GB2312" w:eastAsia="仿宋_GB2312"/>
          <w:color w:val="auto"/>
          <w:sz w:val="28"/>
          <w:szCs w:val="28"/>
        </w:rPr>
      </w:pPr>
      <w:r>
        <w:rPr>
          <w:rFonts w:hint="eastAsia" w:ascii="仿宋_GB2312" w:eastAsia="仿宋_GB2312"/>
          <w:color w:val="auto"/>
          <w:sz w:val="28"/>
          <w:szCs w:val="28"/>
        </w:rPr>
        <w:t>营业执照号码：                       经济性质：</w:t>
      </w:r>
    </w:p>
    <w:p>
      <w:pPr>
        <w:spacing w:line="560" w:lineRule="exact"/>
        <w:rPr>
          <w:rFonts w:ascii="仿宋_GB2312" w:eastAsia="仿宋_GB2312"/>
          <w:color w:val="auto"/>
          <w:sz w:val="28"/>
          <w:szCs w:val="28"/>
        </w:rPr>
      </w:pPr>
      <w:r>
        <w:rPr>
          <w:rFonts w:hint="eastAsia" w:ascii="仿宋_GB2312" w:eastAsia="仿宋_GB2312"/>
          <w:color w:val="auto"/>
          <w:sz w:val="28"/>
          <w:szCs w:val="28"/>
        </w:rPr>
        <w:t>主营（产）：</w:t>
      </w:r>
    </w:p>
    <w:p>
      <w:pPr>
        <w:spacing w:line="560" w:lineRule="exact"/>
        <w:rPr>
          <w:rFonts w:ascii="仿宋_GB2312" w:eastAsia="仿宋_GB2312"/>
          <w:color w:val="auto"/>
          <w:sz w:val="28"/>
          <w:szCs w:val="28"/>
        </w:rPr>
      </w:pPr>
      <w:r>
        <w:rPr>
          <w:rFonts w:hint="eastAsia" w:ascii="仿宋_GB2312" w:eastAsia="仿宋_GB2312"/>
          <w:color w:val="auto"/>
          <w:sz w:val="28"/>
          <w:szCs w:val="28"/>
        </w:rPr>
        <w:t>兼营（产）：</w:t>
      </w:r>
    </w:p>
    <w:p>
      <w:pPr>
        <w:spacing w:line="560" w:lineRule="exact"/>
        <w:rPr>
          <w:rFonts w:ascii="仿宋_GB2312" w:eastAsia="仿宋_GB2312"/>
          <w:color w:val="auto"/>
          <w:sz w:val="28"/>
          <w:szCs w:val="28"/>
        </w:rPr>
      </w:pPr>
    </w:p>
    <w:p>
      <w:pPr>
        <w:spacing w:line="560" w:lineRule="exact"/>
        <w:rPr>
          <w:rFonts w:ascii="仿宋_GB2312" w:eastAsia="仿宋_GB2312"/>
          <w:color w:val="auto"/>
          <w:sz w:val="28"/>
          <w:szCs w:val="28"/>
        </w:rPr>
      </w:pPr>
    </w:p>
    <w:p>
      <w:pPr>
        <w:spacing w:line="560" w:lineRule="exact"/>
        <w:rPr>
          <w:rFonts w:ascii="仿宋_GB2312" w:eastAsia="仿宋_GB2312"/>
          <w:color w:val="auto"/>
          <w:sz w:val="28"/>
          <w:szCs w:val="28"/>
        </w:rPr>
      </w:pPr>
      <w:r>
        <w:rPr>
          <w:rFonts w:hint="eastAsia" w:ascii="仿宋_GB2312" w:eastAsia="仿宋_GB2312"/>
          <w:color w:val="auto"/>
          <w:sz w:val="28"/>
          <w:szCs w:val="28"/>
        </w:rPr>
        <w:t>说明：1.法定代表人为企业事业单位、国家机关、社会团体的主要行政负责人。</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      2.内容必须填写真实、清楚，涂改无效，不得转让、买卖。</w:t>
      </w:r>
    </w:p>
    <w:p>
      <w:pPr>
        <w:spacing w:line="560" w:lineRule="exact"/>
        <w:rPr>
          <w:rFonts w:ascii="仿宋_GB2312" w:eastAsia="仿宋_GB2312"/>
          <w:b/>
          <w:bCs/>
          <w:color w:val="auto"/>
          <w:sz w:val="28"/>
          <w:szCs w:val="28"/>
        </w:rPr>
      </w:pPr>
    </w:p>
    <w:p>
      <w:pPr>
        <w:widowControl/>
        <w:jc w:val="left"/>
        <w:rPr>
          <w:rStyle w:val="19"/>
          <w:rFonts w:ascii="仿宋_GB2312" w:eastAsia="仿宋_GB2312"/>
          <w:bCs w:val="0"/>
          <w:color w:val="auto"/>
          <w:sz w:val="28"/>
          <w:szCs w:val="28"/>
        </w:rPr>
      </w:pPr>
      <w:r>
        <w:rPr>
          <w:rStyle w:val="19"/>
          <w:rFonts w:ascii="仿宋_GB2312" w:eastAsia="仿宋_GB2312"/>
          <w:color w:val="auto"/>
          <w:sz w:val="28"/>
          <w:szCs w:val="28"/>
        </w:rPr>
        <w:br w:type="page"/>
      </w:r>
    </w:p>
    <w:p>
      <w:pPr>
        <w:pStyle w:val="4"/>
        <w:spacing w:before="120" w:after="120"/>
        <w:jc w:val="center"/>
        <w:rPr>
          <w:rFonts w:hint="eastAsia"/>
          <w:color w:val="auto"/>
          <w:lang w:val="en-US" w:eastAsia="zh-CN"/>
        </w:rPr>
      </w:pPr>
      <w:bookmarkStart w:id="18" w:name="_Toc15828"/>
      <w:bookmarkStart w:id="19" w:name="_Toc518649759"/>
      <w:r>
        <w:rPr>
          <w:rFonts w:hint="eastAsia"/>
          <w:color w:val="auto"/>
          <w:lang w:val="en-US" w:eastAsia="zh-CN"/>
        </w:rPr>
        <w:t>3、投标文件签署授权委托书</w:t>
      </w:r>
      <w:bookmarkEnd w:id="18"/>
      <w:bookmarkEnd w:id="19"/>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本授权委托书声明：我</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（姓名）系</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（供应商名称）的法定代表人，现授权委托</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（姓名）为我单位签署本项目已递交的谈判文件的法定代表人的授权委托代理人，代理人全权代表我所签署的本项目已递交的谈判文件内容我均承认。</w:t>
      </w:r>
    </w:p>
    <w:p>
      <w:pPr>
        <w:spacing w:line="560" w:lineRule="exact"/>
        <w:rPr>
          <w:rFonts w:ascii="仿宋_GB2312" w:eastAsia="仿宋_GB2312"/>
          <w:color w:val="auto"/>
          <w:sz w:val="28"/>
          <w:szCs w:val="28"/>
        </w:rPr>
      </w:pP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代理人无转委托权，特此委托。</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代理人：</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性别：</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年龄：</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身份证号码：</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职务：</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联系电话：</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供应商：</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法定代表人：</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授权委托日期：</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 xml:space="preserve">月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日</w:t>
      </w:r>
    </w:p>
    <w:p>
      <w:pPr>
        <w:pStyle w:val="4"/>
        <w:spacing w:before="120" w:after="120"/>
        <w:jc w:val="center"/>
        <w:rPr>
          <w:rFonts w:hint="eastAsia"/>
          <w:bCs w:val="0"/>
          <w:color w:val="auto"/>
        </w:rPr>
      </w:pPr>
      <w:bookmarkStart w:id="20" w:name="_Hlt55296302"/>
      <w:bookmarkEnd w:id="20"/>
      <w:bookmarkStart w:id="21" w:name="_Hlt54775390"/>
      <w:bookmarkEnd w:id="21"/>
      <w:bookmarkStart w:id="22" w:name="_Toc516671908"/>
    </w:p>
    <w:p>
      <w:pPr>
        <w:pStyle w:val="4"/>
        <w:spacing w:before="120" w:after="120"/>
        <w:jc w:val="center"/>
        <w:rPr>
          <w:rFonts w:hint="eastAsia"/>
          <w:bCs w:val="0"/>
          <w:color w:val="auto"/>
        </w:rPr>
      </w:pPr>
    </w:p>
    <w:p>
      <w:pPr>
        <w:pStyle w:val="4"/>
        <w:spacing w:before="120" w:after="120"/>
        <w:jc w:val="center"/>
        <w:rPr>
          <w:rFonts w:hint="eastAsia"/>
          <w:bCs w:val="0"/>
          <w:color w:val="auto"/>
        </w:rPr>
      </w:pPr>
    </w:p>
    <w:p>
      <w:pPr>
        <w:pStyle w:val="4"/>
        <w:spacing w:before="120" w:after="120"/>
        <w:jc w:val="center"/>
        <w:rPr>
          <w:rFonts w:hint="eastAsia"/>
          <w:bCs w:val="0"/>
          <w:color w:val="auto"/>
        </w:rPr>
      </w:pPr>
    </w:p>
    <w:p>
      <w:pPr>
        <w:pStyle w:val="4"/>
        <w:spacing w:before="120" w:after="120"/>
        <w:jc w:val="center"/>
        <w:rPr>
          <w:rFonts w:hint="eastAsia"/>
          <w:bCs w:val="0"/>
          <w:color w:val="auto"/>
        </w:rPr>
      </w:pPr>
    </w:p>
    <w:p>
      <w:pPr>
        <w:rPr>
          <w:rFonts w:hint="eastAsia"/>
          <w:bCs w:val="0"/>
          <w:color w:val="auto"/>
        </w:rPr>
      </w:pPr>
    </w:p>
    <w:p>
      <w:pPr>
        <w:rPr>
          <w:rFonts w:hint="eastAsia"/>
          <w:bCs w:val="0"/>
          <w:color w:val="auto"/>
        </w:rPr>
      </w:pPr>
    </w:p>
    <w:bookmarkEnd w:id="22"/>
    <w:p>
      <w:pPr>
        <w:rPr>
          <w:rStyle w:val="19"/>
          <w:rFonts w:hint="eastAsia" w:ascii="仿宋_GB2312" w:eastAsia="仿宋_GB2312"/>
          <w:bCs w:val="0"/>
          <w:color w:val="auto"/>
          <w:sz w:val="28"/>
          <w:szCs w:val="28"/>
          <w:lang w:val="en-US" w:eastAsia="zh-CN"/>
        </w:rPr>
      </w:pPr>
      <w:bookmarkStart w:id="23" w:name="_Toc518649760"/>
    </w:p>
    <w:p>
      <w:pPr>
        <w:rPr>
          <w:rStyle w:val="19"/>
          <w:rFonts w:hint="eastAsia" w:ascii="仿宋_GB2312" w:eastAsia="仿宋_GB2312"/>
          <w:bCs w:val="0"/>
          <w:color w:val="auto"/>
          <w:sz w:val="28"/>
          <w:szCs w:val="28"/>
          <w:lang w:val="en-US" w:eastAsia="zh-CN"/>
        </w:rPr>
      </w:pPr>
    </w:p>
    <w:p>
      <w:pPr>
        <w:pStyle w:val="4"/>
        <w:spacing w:before="120" w:after="120"/>
        <w:jc w:val="center"/>
        <w:rPr>
          <w:rFonts w:hint="eastAsia"/>
          <w:color w:val="auto"/>
          <w:lang w:val="en-US" w:eastAsia="zh-CN"/>
        </w:rPr>
      </w:pPr>
      <w:bookmarkStart w:id="24" w:name="_Toc28281"/>
      <w:r>
        <w:rPr>
          <w:rFonts w:hint="eastAsia"/>
          <w:color w:val="auto"/>
          <w:lang w:val="en-US" w:eastAsia="zh-CN"/>
        </w:rPr>
        <w:t>4、承诺函</w:t>
      </w:r>
      <w:bookmarkEnd w:id="23"/>
      <w:bookmarkEnd w:id="24"/>
    </w:p>
    <w:p>
      <w:pPr>
        <w:spacing w:line="560" w:lineRule="exact"/>
        <w:rPr>
          <w:rFonts w:ascii="仿宋_GB2312" w:hAnsi="宋体" w:eastAsia="仿宋_GB2312"/>
          <w:color w:val="auto"/>
          <w:sz w:val="28"/>
          <w:szCs w:val="28"/>
        </w:rPr>
      </w:pPr>
      <w:r>
        <w:rPr>
          <w:rFonts w:hint="eastAsia" w:ascii="仿宋_GB2312" w:hAnsi="宋体" w:eastAsia="仿宋_GB2312"/>
          <w:color w:val="auto"/>
          <w:sz w:val="28"/>
          <w:szCs w:val="28"/>
        </w:rPr>
        <w:t>致：深圳市南山区人力资源局</w:t>
      </w:r>
    </w:p>
    <w:p>
      <w:pPr>
        <w:spacing w:line="560" w:lineRule="exact"/>
        <w:ind w:right="-815"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我公司承诺：</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1.我公司依法缴纳税收和社会保障资金。</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2.我公司具备合同所必需的设备和专业技术能力。</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3.我公司参加投标前三年内在经营活动中没有重大违法记录。</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4.我公司对本招标项目所提供的货物或服务未侵犯知识产权。</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5.如我公司在投标文件中提供了专利证书的，我公司保证所投对应产品具有该项专利。</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6.我公司参与该项目投标，严格遵守政府采购相关法律，投标做到诚实，不造假，</w:t>
      </w:r>
      <w:r>
        <w:rPr>
          <w:rFonts w:hint="eastAsia" w:ascii="仿宋_GB2312" w:hAnsi="宋体" w:eastAsia="仿宋_GB2312"/>
          <w:b/>
          <w:bCs/>
          <w:color w:val="auto"/>
          <w:sz w:val="28"/>
          <w:szCs w:val="28"/>
        </w:rPr>
        <w:t>不围标、串标、陪标</w:t>
      </w:r>
      <w:r>
        <w:rPr>
          <w:rFonts w:hint="eastAsia" w:ascii="仿宋_GB2312" w:hAnsi="宋体" w:eastAsia="仿宋_GB2312"/>
          <w:color w:val="auto"/>
          <w:sz w:val="28"/>
          <w:szCs w:val="28"/>
        </w:rPr>
        <w:t>。我公司已清楚，如违反上述要求，所投标将作废。</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8.如果我公司中标，将依照本项目招标文件需求、投标承诺及采购合同，做到诚信履约，力争优良。</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以上承诺，如有违反，愿依照国家相关法律处理，并承担由此给采购人带来的损失。</w:t>
      </w:r>
    </w:p>
    <w:p>
      <w:pPr>
        <w:spacing w:line="560" w:lineRule="exact"/>
        <w:ind w:firstLine="645"/>
        <w:rPr>
          <w:rFonts w:ascii="仿宋_GB2312" w:hAnsi="宋体" w:eastAsia="仿宋_GB2312"/>
          <w:color w:val="auto"/>
          <w:sz w:val="28"/>
          <w:szCs w:val="28"/>
        </w:rPr>
      </w:pPr>
      <w:r>
        <w:rPr>
          <w:rFonts w:hint="eastAsia" w:ascii="仿宋_GB2312" w:hAnsi="宋体" w:eastAsia="仿宋_GB2312"/>
          <w:color w:val="auto"/>
          <w:sz w:val="28"/>
          <w:szCs w:val="28"/>
        </w:rPr>
        <w:t xml:space="preserve">                         公司名称： </w:t>
      </w:r>
    </w:p>
    <w:p>
      <w:pPr>
        <w:spacing w:line="560" w:lineRule="exact"/>
        <w:ind w:firstLine="645"/>
        <w:rPr>
          <w:rFonts w:ascii="仿宋_GB2312" w:hAnsi="宋体" w:eastAsia="仿宋_GB2312"/>
          <w:color w:val="auto"/>
          <w:sz w:val="28"/>
          <w:szCs w:val="28"/>
        </w:rPr>
      </w:pPr>
      <w:r>
        <w:rPr>
          <w:rFonts w:hint="eastAsia" w:ascii="仿宋_GB2312" w:eastAsia="仿宋_GB2312"/>
          <w:b/>
          <w:color w:val="auto"/>
          <w:sz w:val="28"/>
          <w:szCs w:val="28"/>
        </w:rPr>
        <w:t xml:space="preserve">                                        </w:t>
      </w:r>
      <w:r>
        <w:rPr>
          <w:rFonts w:hint="eastAsia" w:ascii="仿宋_GB2312" w:hAnsi="宋体" w:eastAsia="仿宋_GB2312"/>
          <w:color w:val="auto"/>
          <w:sz w:val="28"/>
          <w:szCs w:val="28"/>
        </w:rPr>
        <w:t>年   月    日</w:t>
      </w:r>
    </w:p>
    <w:p>
      <w:pPr>
        <w:widowControl/>
        <w:jc w:val="left"/>
        <w:rPr>
          <w:rFonts w:ascii="仿宋_GB2312" w:hAnsi="宋体" w:eastAsia="仿宋_GB2312"/>
          <w:color w:val="auto"/>
          <w:sz w:val="28"/>
          <w:szCs w:val="28"/>
        </w:rPr>
      </w:pPr>
      <w:r>
        <w:rPr>
          <w:rFonts w:ascii="仿宋_GB2312" w:hAnsi="宋体" w:eastAsia="仿宋_GB2312"/>
          <w:color w:val="auto"/>
          <w:sz w:val="28"/>
          <w:szCs w:val="28"/>
        </w:rPr>
        <w:br w:type="page"/>
      </w:r>
    </w:p>
    <w:p>
      <w:pPr>
        <w:pStyle w:val="4"/>
        <w:spacing w:before="120" w:after="120"/>
        <w:jc w:val="center"/>
        <w:rPr>
          <w:rFonts w:hint="eastAsia"/>
          <w:color w:val="auto"/>
          <w:lang w:val="en-US" w:eastAsia="zh-CN"/>
        </w:rPr>
      </w:pPr>
      <w:bookmarkStart w:id="25" w:name="_Toc6430"/>
      <w:bookmarkStart w:id="26" w:name="_Toc518649761"/>
      <w:r>
        <w:rPr>
          <w:rFonts w:hint="eastAsia"/>
          <w:color w:val="auto"/>
          <w:lang w:val="en-US" w:eastAsia="zh-CN"/>
        </w:rPr>
        <w:t>5、项目实施方案（格式自定）</w:t>
      </w:r>
      <w:bookmarkEnd w:id="25"/>
      <w:bookmarkEnd w:id="26"/>
    </w:p>
    <w:p>
      <w:pPr>
        <w:rPr>
          <w:rFonts w:ascii="宋体" w:hAnsi="宋体" w:eastAsia="黑体"/>
          <w:color w:val="auto"/>
          <w:sz w:val="32"/>
        </w:rPr>
      </w:pPr>
      <w:r>
        <w:rPr>
          <w:color w:val="auto"/>
        </w:rPr>
        <w:br w:type="page"/>
      </w:r>
    </w:p>
    <w:p>
      <w:pPr>
        <w:pStyle w:val="4"/>
        <w:spacing w:before="120" w:after="120"/>
        <w:jc w:val="center"/>
        <w:rPr>
          <w:rFonts w:hint="eastAsia"/>
          <w:color w:val="auto"/>
          <w:lang w:val="en-US" w:eastAsia="zh-CN"/>
        </w:rPr>
      </w:pPr>
      <w:bookmarkStart w:id="27" w:name="_Toc518649762"/>
      <w:bookmarkStart w:id="28" w:name="_Toc22559"/>
      <w:r>
        <w:rPr>
          <w:rFonts w:hint="eastAsia"/>
          <w:color w:val="auto"/>
          <w:lang w:val="en-US" w:eastAsia="zh-CN"/>
        </w:rPr>
        <w:t>6、营业执照</w:t>
      </w:r>
      <w:bookmarkEnd w:id="27"/>
      <w:r>
        <w:rPr>
          <w:rFonts w:hint="eastAsia"/>
          <w:color w:val="auto"/>
          <w:lang w:val="en-US" w:eastAsia="zh-CN"/>
        </w:rPr>
        <w:t>复印件</w:t>
      </w:r>
      <w:bookmarkEnd w:id="28"/>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ourceHanSans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6</w:t>
    </w:r>
    <w:r>
      <w:fldChar w:fldCharType="end"/>
    </w:r>
  </w:p>
  <w:p>
    <w:pPr>
      <w:pStyle w:val="8"/>
      <w:ind w:right="360"/>
      <w:rPr>
        <w:rStyle w:val="16"/>
      </w:rPr>
    </w:pPr>
    <w:r>
      <w:rPr>
        <w:rStyle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269"/>
    </w:sdtPr>
    <w:sdtContent>
      <w:p>
        <w:pPr>
          <w:pStyle w:val="8"/>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1BA18"/>
    <w:multiLevelType w:val="singleLevel"/>
    <w:tmpl w:val="8D91BA18"/>
    <w:lvl w:ilvl="0" w:tentative="0">
      <w:start w:val="4"/>
      <w:numFmt w:val="chineseCounting"/>
      <w:suff w:val="space"/>
      <w:lvlText w:val="第%1章"/>
      <w:lvlJc w:val="left"/>
      <w:rPr>
        <w:rFonts w:hint="eastAsia"/>
      </w:rPr>
    </w:lvl>
  </w:abstractNum>
  <w:abstractNum w:abstractNumId="1">
    <w:nsid w:val="449306A4"/>
    <w:multiLevelType w:val="multilevel"/>
    <w:tmpl w:val="449306A4"/>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MjNiYjQ3YWU3YWUxYWM3MzdiMjdmNjg0ZDkwNjYifQ=="/>
  </w:docVars>
  <w:rsids>
    <w:rsidRoot w:val="00000000"/>
    <w:rsid w:val="02624152"/>
    <w:rsid w:val="029307AF"/>
    <w:rsid w:val="030A0A72"/>
    <w:rsid w:val="038D3451"/>
    <w:rsid w:val="03CE7CF1"/>
    <w:rsid w:val="04003C23"/>
    <w:rsid w:val="0423274C"/>
    <w:rsid w:val="043059DA"/>
    <w:rsid w:val="044B5012"/>
    <w:rsid w:val="0451447E"/>
    <w:rsid w:val="05147310"/>
    <w:rsid w:val="0562100E"/>
    <w:rsid w:val="057B7A05"/>
    <w:rsid w:val="070C5807"/>
    <w:rsid w:val="07CA4C73"/>
    <w:rsid w:val="0869448C"/>
    <w:rsid w:val="093A1985"/>
    <w:rsid w:val="09CD45A7"/>
    <w:rsid w:val="0A1977EC"/>
    <w:rsid w:val="0A295939"/>
    <w:rsid w:val="0A5E51A8"/>
    <w:rsid w:val="0A5E78F5"/>
    <w:rsid w:val="0A754212"/>
    <w:rsid w:val="0B9510F4"/>
    <w:rsid w:val="0BB21CA6"/>
    <w:rsid w:val="0C5965C6"/>
    <w:rsid w:val="0D5C3A6D"/>
    <w:rsid w:val="0E0B38F0"/>
    <w:rsid w:val="0E484B44"/>
    <w:rsid w:val="0E63372C"/>
    <w:rsid w:val="0F24110D"/>
    <w:rsid w:val="0F474DFC"/>
    <w:rsid w:val="0FD0071F"/>
    <w:rsid w:val="106724D6"/>
    <w:rsid w:val="10AA73F0"/>
    <w:rsid w:val="11733C86"/>
    <w:rsid w:val="137B7CDA"/>
    <w:rsid w:val="137D2B9A"/>
    <w:rsid w:val="13806B2E"/>
    <w:rsid w:val="142C45C0"/>
    <w:rsid w:val="14757D15"/>
    <w:rsid w:val="14787805"/>
    <w:rsid w:val="14C91E0F"/>
    <w:rsid w:val="18616AF4"/>
    <w:rsid w:val="18EB2C9C"/>
    <w:rsid w:val="198A6011"/>
    <w:rsid w:val="19AA0461"/>
    <w:rsid w:val="1A512FD2"/>
    <w:rsid w:val="1A6D0C64"/>
    <w:rsid w:val="1C1C4F1A"/>
    <w:rsid w:val="1C344C49"/>
    <w:rsid w:val="1CC7132A"/>
    <w:rsid w:val="1D1502E7"/>
    <w:rsid w:val="1D1D0F4A"/>
    <w:rsid w:val="1D2D3883"/>
    <w:rsid w:val="1D9B5E24"/>
    <w:rsid w:val="1DDB508D"/>
    <w:rsid w:val="1ED04AA7"/>
    <w:rsid w:val="1F017C24"/>
    <w:rsid w:val="1F8E612F"/>
    <w:rsid w:val="1FA410CD"/>
    <w:rsid w:val="20482782"/>
    <w:rsid w:val="20B87907"/>
    <w:rsid w:val="216361F0"/>
    <w:rsid w:val="21893052"/>
    <w:rsid w:val="2231042B"/>
    <w:rsid w:val="22943A5C"/>
    <w:rsid w:val="233D40F4"/>
    <w:rsid w:val="23700878"/>
    <w:rsid w:val="23713D9D"/>
    <w:rsid w:val="24101808"/>
    <w:rsid w:val="24975A86"/>
    <w:rsid w:val="24C579C9"/>
    <w:rsid w:val="24F829C8"/>
    <w:rsid w:val="25D30D3F"/>
    <w:rsid w:val="263C4B36"/>
    <w:rsid w:val="26580DCD"/>
    <w:rsid w:val="267B48CF"/>
    <w:rsid w:val="26A60202"/>
    <w:rsid w:val="272A2BE1"/>
    <w:rsid w:val="272E0923"/>
    <w:rsid w:val="275F0ADD"/>
    <w:rsid w:val="279F712B"/>
    <w:rsid w:val="27F37477"/>
    <w:rsid w:val="2859377E"/>
    <w:rsid w:val="28A96A92"/>
    <w:rsid w:val="28F65471"/>
    <w:rsid w:val="292024ED"/>
    <w:rsid w:val="29405B8F"/>
    <w:rsid w:val="294443B3"/>
    <w:rsid w:val="29714AF7"/>
    <w:rsid w:val="29D07A70"/>
    <w:rsid w:val="2A375D41"/>
    <w:rsid w:val="2ABC7FF4"/>
    <w:rsid w:val="2ACD3F54"/>
    <w:rsid w:val="2AD25A69"/>
    <w:rsid w:val="2B680B80"/>
    <w:rsid w:val="2BB1567F"/>
    <w:rsid w:val="2C7212B2"/>
    <w:rsid w:val="2CAF0572"/>
    <w:rsid w:val="2CEB6389"/>
    <w:rsid w:val="2D341E3A"/>
    <w:rsid w:val="2D546C0A"/>
    <w:rsid w:val="2DD50E45"/>
    <w:rsid w:val="305A4537"/>
    <w:rsid w:val="30703D5A"/>
    <w:rsid w:val="307B44AD"/>
    <w:rsid w:val="308A649E"/>
    <w:rsid w:val="30F304E8"/>
    <w:rsid w:val="30F3298A"/>
    <w:rsid w:val="31A6555A"/>
    <w:rsid w:val="31DB3455"/>
    <w:rsid w:val="32144BB9"/>
    <w:rsid w:val="3216623C"/>
    <w:rsid w:val="32BF7142"/>
    <w:rsid w:val="332C3732"/>
    <w:rsid w:val="33596D28"/>
    <w:rsid w:val="33F151B2"/>
    <w:rsid w:val="34225493"/>
    <w:rsid w:val="34711E4F"/>
    <w:rsid w:val="34987531"/>
    <w:rsid w:val="34A83397"/>
    <w:rsid w:val="34AF4725"/>
    <w:rsid w:val="35527B11"/>
    <w:rsid w:val="35EF1676"/>
    <w:rsid w:val="36EB4E2D"/>
    <w:rsid w:val="37016A59"/>
    <w:rsid w:val="37F7266B"/>
    <w:rsid w:val="38233460"/>
    <w:rsid w:val="383218F5"/>
    <w:rsid w:val="38E76B84"/>
    <w:rsid w:val="391E1A6F"/>
    <w:rsid w:val="39822409"/>
    <w:rsid w:val="399741CE"/>
    <w:rsid w:val="39A22AAB"/>
    <w:rsid w:val="3A976388"/>
    <w:rsid w:val="3ADD1FEC"/>
    <w:rsid w:val="3B201ED9"/>
    <w:rsid w:val="3B2C7EBF"/>
    <w:rsid w:val="3B4F0A10"/>
    <w:rsid w:val="3C836BC3"/>
    <w:rsid w:val="3C8D17F0"/>
    <w:rsid w:val="3CA60670"/>
    <w:rsid w:val="3CE27D8E"/>
    <w:rsid w:val="3DC656A0"/>
    <w:rsid w:val="3DD671C7"/>
    <w:rsid w:val="3EED1223"/>
    <w:rsid w:val="3F0044FB"/>
    <w:rsid w:val="3F6251B6"/>
    <w:rsid w:val="408B4299"/>
    <w:rsid w:val="40C44FE1"/>
    <w:rsid w:val="41175B2C"/>
    <w:rsid w:val="41AF3FB7"/>
    <w:rsid w:val="42276E60"/>
    <w:rsid w:val="43871A8B"/>
    <w:rsid w:val="439C7400"/>
    <w:rsid w:val="44326EAC"/>
    <w:rsid w:val="444A6219"/>
    <w:rsid w:val="444D2855"/>
    <w:rsid w:val="44775260"/>
    <w:rsid w:val="450D7759"/>
    <w:rsid w:val="45294080"/>
    <w:rsid w:val="45C344D5"/>
    <w:rsid w:val="46026DAB"/>
    <w:rsid w:val="464A456F"/>
    <w:rsid w:val="466C3EFE"/>
    <w:rsid w:val="46C005C7"/>
    <w:rsid w:val="47AA594C"/>
    <w:rsid w:val="47F941DE"/>
    <w:rsid w:val="482079BC"/>
    <w:rsid w:val="48AC2FFE"/>
    <w:rsid w:val="48FA645F"/>
    <w:rsid w:val="490B41C9"/>
    <w:rsid w:val="4AA246B9"/>
    <w:rsid w:val="4AF40B8E"/>
    <w:rsid w:val="4B5702BB"/>
    <w:rsid w:val="4C7958ED"/>
    <w:rsid w:val="4C8524E4"/>
    <w:rsid w:val="4C9D782D"/>
    <w:rsid w:val="4CD46FC7"/>
    <w:rsid w:val="4D2C2E13"/>
    <w:rsid w:val="4DBF37D4"/>
    <w:rsid w:val="4EAC01FC"/>
    <w:rsid w:val="4EB07137"/>
    <w:rsid w:val="4EB8094F"/>
    <w:rsid w:val="4EF456FF"/>
    <w:rsid w:val="4F527D9E"/>
    <w:rsid w:val="4F532425"/>
    <w:rsid w:val="4FA84869"/>
    <w:rsid w:val="50066AFF"/>
    <w:rsid w:val="50615B94"/>
    <w:rsid w:val="511E6A63"/>
    <w:rsid w:val="51856AE2"/>
    <w:rsid w:val="525145C4"/>
    <w:rsid w:val="528B788B"/>
    <w:rsid w:val="52C009D3"/>
    <w:rsid w:val="54372316"/>
    <w:rsid w:val="547F6E00"/>
    <w:rsid w:val="54FF5D55"/>
    <w:rsid w:val="555B0286"/>
    <w:rsid w:val="555E1B24"/>
    <w:rsid w:val="55A21A11"/>
    <w:rsid w:val="55DD513F"/>
    <w:rsid w:val="57F329F7"/>
    <w:rsid w:val="58363574"/>
    <w:rsid w:val="585C0A5D"/>
    <w:rsid w:val="58CE0D6F"/>
    <w:rsid w:val="58E16CF4"/>
    <w:rsid w:val="594B0611"/>
    <w:rsid w:val="59A044B9"/>
    <w:rsid w:val="59E52814"/>
    <w:rsid w:val="5A4E015F"/>
    <w:rsid w:val="5A834A4B"/>
    <w:rsid w:val="5ABC5270"/>
    <w:rsid w:val="5B6836FC"/>
    <w:rsid w:val="5B984E7B"/>
    <w:rsid w:val="5BEC60DC"/>
    <w:rsid w:val="5CB22C2C"/>
    <w:rsid w:val="5DA43385"/>
    <w:rsid w:val="5E7526D4"/>
    <w:rsid w:val="5EB34C8F"/>
    <w:rsid w:val="5EBE2EAC"/>
    <w:rsid w:val="5F074FDA"/>
    <w:rsid w:val="5F1D366E"/>
    <w:rsid w:val="5F6317A3"/>
    <w:rsid w:val="5F8B79B9"/>
    <w:rsid w:val="600769D1"/>
    <w:rsid w:val="61630BEE"/>
    <w:rsid w:val="617805B6"/>
    <w:rsid w:val="61E005F8"/>
    <w:rsid w:val="62516C98"/>
    <w:rsid w:val="629C69EC"/>
    <w:rsid w:val="632E2B36"/>
    <w:rsid w:val="63462624"/>
    <w:rsid w:val="63C03C82"/>
    <w:rsid w:val="659444E7"/>
    <w:rsid w:val="65BC6B1F"/>
    <w:rsid w:val="66EC3434"/>
    <w:rsid w:val="67185FD7"/>
    <w:rsid w:val="67223E3D"/>
    <w:rsid w:val="6796489D"/>
    <w:rsid w:val="67B33F51"/>
    <w:rsid w:val="67B618D4"/>
    <w:rsid w:val="67FF7197"/>
    <w:rsid w:val="68250419"/>
    <w:rsid w:val="68594AF9"/>
    <w:rsid w:val="68617509"/>
    <w:rsid w:val="68E1064A"/>
    <w:rsid w:val="690164B5"/>
    <w:rsid w:val="69833BEF"/>
    <w:rsid w:val="6A6B0B13"/>
    <w:rsid w:val="6A7E25F5"/>
    <w:rsid w:val="6A9B05A6"/>
    <w:rsid w:val="6AA96ED8"/>
    <w:rsid w:val="6AC973CF"/>
    <w:rsid w:val="6ACB7131"/>
    <w:rsid w:val="6AEA5EDC"/>
    <w:rsid w:val="6BC56001"/>
    <w:rsid w:val="6BDF3567"/>
    <w:rsid w:val="6CCB3AEB"/>
    <w:rsid w:val="6DC02F24"/>
    <w:rsid w:val="6E153270"/>
    <w:rsid w:val="6E9D3265"/>
    <w:rsid w:val="6EBF2127"/>
    <w:rsid w:val="6F1A48B6"/>
    <w:rsid w:val="6FAE6B1D"/>
    <w:rsid w:val="6FD9651F"/>
    <w:rsid w:val="70397CCC"/>
    <w:rsid w:val="70D2369A"/>
    <w:rsid w:val="71777D9E"/>
    <w:rsid w:val="71BB5EDC"/>
    <w:rsid w:val="71E76CD1"/>
    <w:rsid w:val="723A5C3A"/>
    <w:rsid w:val="72DA6836"/>
    <w:rsid w:val="730914D1"/>
    <w:rsid w:val="73B47087"/>
    <w:rsid w:val="73D70FC8"/>
    <w:rsid w:val="74365CEE"/>
    <w:rsid w:val="74911176"/>
    <w:rsid w:val="74B3733F"/>
    <w:rsid w:val="74FE020F"/>
    <w:rsid w:val="763D3414"/>
    <w:rsid w:val="767B0B2E"/>
    <w:rsid w:val="76883919"/>
    <w:rsid w:val="769A6A08"/>
    <w:rsid w:val="780B0E48"/>
    <w:rsid w:val="78E73A5B"/>
    <w:rsid w:val="78EA70A7"/>
    <w:rsid w:val="78FB3062"/>
    <w:rsid w:val="797C23F5"/>
    <w:rsid w:val="79D42231"/>
    <w:rsid w:val="7A3902E6"/>
    <w:rsid w:val="7AAA2F92"/>
    <w:rsid w:val="7AF62058"/>
    <w:rsid w:val="7B98728E"/>
    <w:rsid w:val="7C070A1F"/>
    <w:rsid w:val="7C8B6023"/>
    <w:rsid w:val="7CC3033B"/>
    <w:rsid w:val="7CD818D8"/>
    <w:rsid w:val="7D2708CA"/>
    <w:rsid w:val="7D6C452F"/>
    <w:rsid w:val="7D851A94"/>
    <w:rsid w:val="7F323556"/>
    <w:rsid w:val="7F710522"/>
    <w:rsid w:val="7F944F92"/>
    <w:rsid w:val="B3E9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line="560" w:lineRule="exact"/>
      <w:jc w:val="center"/>
      <w:outlineLvl w:val="0"/>
    </w:pPr>
    <w:rPr>
      <w:rFonts w:ascii="仿宋_GB2312" w:eastAsia="黑体"/>
      <w:bCs/>
      <w:color w:val="000000"/>
      <w:kern w:val="44"/>
      <w:sz w:val="32"/>
      <w:szCs w:val="2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9"/>
    <w:qFormat/>
    <w:uiPriority w:val="0"/>
    <w:pPr>
      <w:keepNext/>
      <w:keepLines/>
      <w:tabs>
        <w:tab w:val="left" w:pos="3945"/>
        <w:tab w:val="center" w:pos="4783"/>
      </w:tabs>
      <w:spacing w:beforeLines="50" w:afterLines="50" w:line="480" w:lineRule="auto"/>
      <w:outlineLvl w:val="2"/>
    </w:pPr>
    <w:rPr>
      <w:rFonts w:ascii="宋体" w:hAnsi="宋体" w:eastAsia="黑体"/>
      <w:bCs/>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420"/>
      <w:jc w:val="left"/>
    </w:pPr>
    <w:rPr>
      <w:i/>
      <w:iCs/>
    </w:r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qFormat/>
    <w:uiPriority w:val="99"/>
    <w:pPr>
      <w:tabs>
        <w:tab w:val="center" w:pos="4153"/>
        <w:tab w:val="right" w:pos="8306"/>
      </w:tabs>
      <w:snapToGrid w:val="0"/>
      <w:jc w:val="left"/>
    </w:pPr>
    <w:rPr>
      <w:rFonts w:asciiTheme="minorHAnsi" w:hAnsiTheme="minorHAnsi" w:cstheme="minorBidi"/>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qFormat/>
    <w:uiPriority w:val="39"/>
    <w:pPr>
      <w:spacing w:before="120" w:after="120"/>
      <w:jc w:val="left"/>
    </w:pPr>
    <w:rPr>
      <w:b/>
      <w:bCs/>
      <w:caps/>
    </w:rPr>
  </w:style>
  <w:style w:type="paragraph" w:styleId="11">
    <w:name w:val="toc 2"/>
    <w:basedOn w:val="1"/>
    <w:next w:val="1"/>
    <w:unhideWhenUsed/>
    <w:qFormat/>
    <w:uiPriority w:val="39"/>
    <w:pPr>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HL正文样式"/>
    <w:basedOn w:val="1"/>
    <w:qFormat/>
    <w:uiPriority w:val="0"/>
    <w:pPr>
      <w:spacing w:line="360" w:lineRule="auto"/>
      <w:ind w:firstLine="200" w:firstLineChars="200"/>
    </w:pPr>
    <w:rPr>
      <w:rFonts w:ascii="Arial" w:hAnsi="Arial"/>
      <w:sz w:val="24"/>
      <w:szCs w:val="22"/>
    </w:rPr>
  </w:style>
  <w:style w:type="character" w:customStyle="1" w:styleId="19">
    <w:name w:val="标题 3 Char"/>
    <w:basedOn w:val="15"/>
    <w:link w:val="4"/>
    <w:qFormat/>
    <w:uiPriority w:val="0"/>
    <w:rPr>
      <w:rFonts w:ascii="宋体" w:hAnsi="宋体" w:eastAsia="黑体"/>
      <w:bCs/>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6806</Words>
  <Characters>7059</Characters>
  <Lines>0</Lines>
  <Paragraphs>0</Paragraphs>
  <TotalTime>6</TotalTime>
  <ScaleCrop>false</ScaleCrop>
  <LinksUpToDate>false</LinksUpToDate>
  <CharactersWithSpaces>7632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2023-01-28T10:51:00Z</dcterms:created>
  <dc:creator>Administrator</dc:creator>
  <cp:lastModifiedBy>admin</cp:lastModifiedBy>
  <cp:lastPrinted>2023-03-15T07:05:00Z</cp:lastPrinted>
  <dcterms:modified xsi:type="dcterms:W3CDTF">2023-03-15T08:50:27Z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AE497A75815B4E89A4EE740BE627F99C</vt:lpwstr>
  </property>
</Properties>
</file>