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74" w:lineRule="exact"/>
        <w:jc w:val="both"/>
        <w:textAlignment w:val="baseline"/>
        <w:rPr>
          <w:rStyle w:val="4"/>
          <w:rFonts w:hint="eastAsia" w:ascii="黑体" w:hAnsi="黑体" w:eastAsia="黑体" w:cs="黑体"/>
          <w:b w:val="0"/>
          <w:i w:val="0"/>
          <w:caps w:val="0"/>
          <w:color w:val="auto"/>
          <w:spacing w:val="0"/>
          <w:w w:val="100"/>
          <w:kern w:val="2"/>
          <w:sz w:val="32"/>
          <w:szCs w:val="32"/>
          <w:lang w:val="en-US" w:eastAsia="zh-CN" w:bidi="ar-SA"/>
        </w:rPr>
      </w:pPr>
      <w:r>
        <w:rPr>
          <w:rStyle w:val="4"/>
          <w:rFonts w:hint="eastAsia" w:ascii="黑体" w:hAnsi="黑体" w:eastAsia="黑体" w:cs="黑体"/>
          <w:b w:val="0"/>
          <w:i w:val="0"/>
          <w:caps w:val="0"/>
          <w:color w:val="auto"/>
          <w:spacing w:val="0"/>
          <w:w w:val="100"/>
          <w:kern w:val="2"/>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both"/>
        <w:textAlignment w:val="baseline"/>
        <w:rPr>
          <w:rStyle w:val="4"/>
          <w:rFonts w:hint="eastAsia" w:ascii="黑体" w:hAnsi="黑体" w:eastAsia="黑体" w:cs="黑体"/>
          <w:b w:val="0"/>
          <w:i w:val="0"/>
          <w:caps w:val="0"/>
          <w:color w:val="auto"/>
          <w:spacing w:val="0"/>
          <w:w w:val="100"/>
          <w:kern w:val="2"/>
          <w:sz w:val="32"/>
          <w:szCs w:val="32"/>
          <w:lang w:val="en-US" w:eastAsia="zh-CN" w:bidi="ar-SA"/>
        </w:rPr>
      </w:pP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center"/>
        <w:textAlignment w:val="baseline"/>
        <w:rPr>
          <w:rStyle w:val="4"/>
          <w:rFonts w:hint="eastAsia" w:ascii="方正小标宋简体" w:hAnsi="方正小标宋简体" w:eastAsia="方正小标宋简体" w:cs="方正小标宋简体"/>
          <w:b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i w:val="0"/>
          <w:caps w:val="0"/>
          <w:color w:val="auto"/>
          <w:spacing w:val="0"/>
          <w:w w:val="100"/>
          <w:kern w:val="2"/>
          <w:sz w:val="44"/>
          <w:szCs w:val="44"/>
          <w:lang w:val="en-US" w:eastAsia="zh-CN" w:bidi="ar-SA"/>
        </w:rPr>
        <w:t>事业单位公开招聘违纪违规行为处理规定</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center"/>
        <w:textAlignment w:val="baseline"/>
        <w:rPr>
          <w:rStyle w:val="4"/>
          <w:rFonts w:hint="eastAsia" w:ascii="楷体_GB2312" w:hAnsi="楷体_GB2312" w:eastAsia="楷体_GB2312" w:cs="楷体_GB2312"/>
          <w:b w:val="0"/>
          <w:i w:val="0"/>
          <w:caps w:val="0"/>
          <w:color w:val="auto"/>
          <w:spacing w:val="0"/>
          <w:w w:val="100"/>
          <w:kern w:val="2"/>
          <w:sz w:val="32"/>
          <w:szCs w:val="32"/>
          <w:lang w:val="en-US" w:eastAsia="zh-CN" w:bidi="ar-SA"/>
        </w:rPr>
      </w:pPr>
      <w:r>
        <w:rPr>
          <w:rStyle w:val="4"/>
          <w:rFonts w:hint="eastAsia" w:ascii="楷体_GB2312" w:hAnsi="楷体_GB2312" w:eastAsia="楷体_GB2312" w:cs="楷体_GB2312"/>
          <w:b w:val="0"/>
          <w:i w:val="0"/>
          <w:caps w:val="0"/>
          <w:color w:val="auto"/>
          <w:spacing w:val="0"/>
          <w:w w:val="100"/>
          <w:kern w:val="2"/>
          <w:sz w:val="32"/>
          <w:szCs w:val="32"/>
          <w:lang w:val="en-US" w:eastAsia="zh-CN" w:bidi="ar-SA"/>
        </w:rPr>
        <w:t>（中华人民共和国人力资源和社会保障部第35号令 摘要）</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center"/>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第五条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第六条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48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（三）经提醒仍不按规定填写、填涂本人信息的；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 xml:space="preserve"> 第七条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（一）抄袭、协助他人抄袭的；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（二）互相传递试卷、答题纸、答题卡、草稿纸等的；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（三）持伪造证件参加考试的；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w:t>
      </w:r>
      <w:r>
        <w:rPr>
          <w:rStyle w:val="4"/>
          <w:rFonts w:hint="eastAsia" w:ascii="仿宋_GB2312" w:hAnsi="仿宋_GB2312" w:eastAsia="仿宋_GB2312" w:cs="仿宋_GB2312"/>
          <w:b/>
          <w:bCs/>
          <w:i w:val="0"/>
          <w:caps w:val="0"/>
          <w:color w:val="auto"/>
          <w:spacing w:val="0"/>
          <w:w w:val="100"/>
          <w:kern w:val="0"/>
          <w:sz w:val="32"/>
          <w:szCs w:val="32"/>
          <w:lang w:val="en-US" w:eastAsia="zh-CN" w:bidi="ar-SA"/>
        </w:rPr>
        <w:t xml:space="preserve"> 第八条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（一）串通作弊或者参与有组织作弊的；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3"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第九条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（二）拒绝、妨碍工作人员履行管理职责的；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（四）其他扰乱招聘工作秩序的违纪违规行为。</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3"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bCs/>
          <w:i w:val="0"/>
          <w:caps w:val="0"/>
          <w:color w:val="auto"/>
          <w:spacing w:val="0"/>
          <w:w w:val="100"/>
          <w:kern w:val="0"/>
          <w:sz w:val="32"/>
          <w:szCs w:val="32"/>
          <w:lang w:val="en-US" w:eastAsia="zh-CN" w:bidi="ar-SA"/>
        </w:rPr>
        <w:t>第十条</w:t>
      </w: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beforeAutospacing="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0"/>
          <w:sz w:val="32"/>
          <w:szCs w:val="32"/>
          <w:lang w:val="en-US" w:eastAsia="zh-CN" w:bidi="ar-SA"/>
        </w:rPr>
        <w:t>应聘人员之间同一科目作答内容雷同，并有其他相关证据证明其违纪违规行为成立的，视具体情形按照本规定第七条、第八条处理。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NDI1YjAzM2Y3NmNmNDAyZmU1YjIxYjhhMWU4NGQifQ=="/>
  </w:docVars>
  <w:rsids>
    <w:rsidRoot w:val="00000000"/>
    <w:rsid w:val="7B16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2023-01-30T09:20:29Z</dcterms:created>
  <dc:creator>nygay</dc:creator>
  <cp:lastModifiedBy>nygay</cp:lastModifiedBy>
  <dcterms:modified xsi:type="dcterms:W3CDTF">2023-01-30T09:20:53Z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AA23142D8D8B4A639DB43410E44CA08B</vt:lpwstr>
  </property>
</Properties>
</file>